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41A4630" w:rsidR="00B17211" w:rsidRPr="00B17211" w:rsidRDefault="00B17211" w:rsidP="007F490F">
            <w:r w:rsidRPr="007F490F">
              <w:rPr>
                <w:rStyle w:val="Heading2Char"/>
              </w:rPr>
              <w:t>Our reference:</w:t>
            </w:r>
            <w:r>
              <w:t xml:space="preserve">  FOI 2</w:t>
            </w:r>
            <w:r w:rsidR="00EF0FBB">
              <w:t>5</w:t>
            </w:r>
            <w:r>
              <w:t>-</w:t>
            </w:r>
            <w:r w:rsidR="009D637E">
              <w:t>2107</w:t>
            </w:r>
          </w:p>
          <w:p w14:paraId="34BDABA6" w14:textId="5F8E04AE" w:rsidR="00B17211" w:rsidRDefault="00456324" w:rsidP="00EE2373">
            <w:r w:rsidRPr="007F490F">
              <w:rPr>
                <w:rStyle w:val="Heading2Char"/>
              </w:rPr>
              <w:t>Respon</w:t>
            </w:r>
            <w:r w:rsidR="007D55F6">
              <w:rPr>
                <w:rStyle w:val="Heading2Char"/>
              </w:rPr>
              <w:t>ded to:</w:t>
            </w:r>
            <w:r w:rsidR="007F490F">
              <w:t xml:space="preserve">  </w:t>
            </w:r>
            <w:r w:rsidR="004B1D83">
              <w:t xml:space="preserve">04 November </w:t>
            </w:r>
            <w:r>
              <w:t>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419DC82" w14:textId="40F88EF0" w:rsidR="009D637E" w:rsidRPr="009D637E" w:rsidRDefault="009D637E" w:rsidP="009D637E">
      <w:pPr>
        <w:tabs>
          <w:tab w:val="left" w:pos="5400"/>
        </w:tabs>
        <w:rPr>
          <w:rFonts w:eastAsiaTheme="majorEastAsia" w:cstheme="majorBidi"/>
          <w:b/>
          <w:color w:val="000000" w:themeColor="text1"/>
          <w:szCs w:val="26"/>
        </w:rPr>
      </w:pPr>
      <w:r w:rsidRPr="009D637E">
        <w:rPr>
          <w:rFonts w:eastAsiaTheme="majorEastAsia" w:cstheme="majorBidi"/>
          <w:b/>
          <w:color w:val="000000" w:themeColor="text1"/>
          <w:szCs w:val="26"/>
        </w:rPr>
        <w:t xml:space="preserve">The 30th November 2023 Chief Constable's Report (available at </w:t>
      </w:r>
      <w:hyperlink r:id="rId11" w:history="1">
        <w:r>
          <w:rPr>
            <w:rStyle w:val="Hyperlink"/>
            <w:rFonts w:eastAsiaTheme="majorEastAsia" w:cstheme="majorBidi"/>
            <w:b/>
            <w:szCs w:val="26"/>
          </w:rPr>
          <w:t>Chief Constable's report - 30 November 2023</w:t>
        </w:r>
      </w:hyperlink>
      <w:r w:rsidRPr="009D637E">
        <w:rPr>
          <w:rFonts w:eastAsiaTheme="majorEastAsia" w:cstheme="majorBidi"/>
          <w:b/>
          <w:color w:val="000000" w:themeColor="text1"/>
          <w:szCs w:val="26"/>
        </w:rPr>
        <w:t xml:space="preserve"> ) notes :</w:t>
      </w:r>
    </w:p>
    <w:p w14:paraId="320FA9EC" w14:textId="1A905E6A" w:rsidR="009D637E" w:rsidRPr="009D637E" w:rsidRDefault="009D637E" w:rsidP="009D637E">
      <w:pPr>
        <w:tabs>
          <w:tab w:val="left" w:pos="5400"/>
        </w:tabs>
        <w:rPr>
          <w:rFonts w:eastAsiaTheme="majorEastAsia" w:cstheme="majorBidi"/>
          <w:b/>
          <w:color w:val="000000" w:themeColor="text1"/>
          <w:szCs w:val="26"/>
        </w:rPr>
      </w:pPr>
      <w:r w:rsidRPr="009D637E">
        <w:rPr>
          <w:rFonts w:eastAsiaTheme="majorEastAsia" w:cstheme="majorBidi"/>
          <w:b/>
          <w:color w:val="000000" w:themeColor="text1"/>
          <w:szCs w:val="26"/>
        </w:rPr>
        <w:t>"a relatively small increase in the number of hate incidents being reported" in the aftermath of October 2023.</w:t>
      </w:r>
    </w:p>
    <w:p w14:paraId="196B7EDF" w14:textId="2F82B817" w:rsidR="009D637E" w:rsidRDefault="009D637E" w:rsidP="009D637E">
      <w:pPr>
        <w:tabs>
          <w:tab w:val="left" w:pos="5400"/>
        </w:tabs>
        <w:rPr>
          <w:rFonts w:eastAsiaTheme="majorEastAsia" w:cstheme="majorBidi"/>
          <w:b/>
          <w:color w:val="000000" w:themeColor="text1"/>
          <w:szCs w:val="26"/>
        </w:rPr>
      </w:pPr>
      <w:r w:rsidRPr="009D637E">
        <w:rPr>
          <w:rFonts w:eastAsiaTheme="majorEastAsia" w:cstheme="majorBidi"/>
          <w:b/>
          <w:color w:val="000000" w:themeColor="text1"/>
          <w:szCs w:val="26"/>
        </w:rPr>
        <w:t>Please can you provide a breakdown of hate crime statistics that mention islamophobia, anti-muslim racism and antisemitism from 1st October 2023- 1st April 2024.</w:t>
      </w:r>
    </w:p>
    <w:p w14:paraId="3DC52376" w14:textId="77777777" w:rsidR="00F27432" w:rsidRDefault="00F27432" w:rsidP="00F27432">
      <w:r>
        <w:t>To provide some general context, Police Scotland defines a hate incident as ‘any incident which is perceived by the victim or any other person to be motivated (wholly or partly) by malice and ill-will towards a social group but which does not constitute a criminal offence.’</w:t>
      </w:r>
    </w:p>
    <w:p w14:paraId="4EEE3E2B" w14:textId="77777777" w:rsidR="00F27432" w:rsidRDefault="00F27432" w:rsidP="00F27432">
      <w:r>
        <w:t>Police Scotland defines a hate crime as, ‘any crime which is perceived by the victim or any other person, to be motivated (wholly or partly) by malice and ill-will towards a social group.’</w:t>
      </w:r>
    </w:p>
    <w:p w14:paraId="3F98AAD5" w14:textId="07D6BA5E" w:rsidR="00F27432" w:rsidRDefault="00F27432" w:rsidP="00F27432">
      <w:r>
        <w:t>Social groups are identified in accordance with the Lord Advocates guidelines on Aggravations of Offences against Prejudice i.e. race, sexual orientation, religion/faith, disability or transgender identity.</w:t>
      </w:r>
    </w:p>
    <w:p w14:paraId="4E548C8C" w14:textId="77777777" w:rsidR="00CE6DAA" w:rsidRDefault="00CE6DAA" w:rsidP="00F27432"/>
    <w:p w14:paraId="7863AA14" w14:textId="77777777" w:rsidR="006F6121" w:rsidRPr="006F6121" w:rsidRDefault="006F6121" w:rsidP="006F6121">
      <w:r w:rsidRPr="006F6121">
        <w:t xml:space="preserve">Please note the information provided has been extracted from the interim Vulnerable Persons Database (iVPD). iVPD is the formal means by which Police Scotland record police contact with adults, children and young people who are, or are perceived to be, experiencing some form of adversity and / or situational vulnerability, which may impact on their current or future wellbeing; or where force policy dictates e.g. domestic abuse, hate crime, youth offending or to record details of victim’s rights under Section 8 and 9 of the Victims and Witnesses (Scotland) Act 2014. </w:t>
      </w:r>
      <w:r w:rsidRPr="006F6121">
        <w:br/>
      </w:r>
      <w:r w:rsidRPr="006F6121">
        <w:lastRenderedPageBreak/>
        <w:t xml:space="preserve">The iVPD is a dynamic database which is constantly being updated and changed. </w:t>
      </w:r>
      <w:r w:rsidRPr="006F6121">
        <w:br/>
        <w:t xml:space="preserve">“Data within iVPD is subject to a nominal based weeding and retention policy and is not incident based. Nominals on iVPD are categorised according to their Vulnerability Person (VP) Type and a weeding date applied according to that type and weeding rules. These rules are published on the Police Scotland website here: </w:t>
      </w:r>
      <w:hyperlink r:id="rId12" w:history="1">
        <w:r w:rsidRPr="006F6121">
          <w:rPr>
            <w:rStyle w:val="Hyperlink"/>
          </w:rPr>
          <w:t>Standard Operating Procedures P-S - Police Scotland</w:t>
        </w:r>
      </w:hyperlink>
      <w:r w:rsidRPr="006F6121">
        <w:t xml:space="preserve">. Once all the nominals associated with an incident (Concern Report) are weeded, the Concern Report itself also weeds from iVPD. </w:t>
      </w:r>
      <w:r w:rsidRPr="006F6121">
        <w:br/>
        <w:t xml:space="preserve">Additionally, it is important to note that more than there can be more than one perpetrator linked to a single recorded crime. </w:t>
      </w:r>
    </w:p>
    <w:p w14:paraId="2C711D87" w14:textId="77777777" w:rsidR="006F6121" w:rsidRPr="00F27432" w:rsidRDefault="006F6121" w:rsidP="00F27432"/>
    <w:p w14:paraId="138C54C4" w14:textId="0C8AEA9B" w:rsidR="00F46127" w:rsidRPr="00F46127" w:rsidRDefault="00F46127" w:rsidP="009D637E">
      <w:pPr>
        <w:tabs>
          <w:tab w:val="left" w:pos="5400"/>
        </w:tabs>
        <w:rPr>
          <w:rFonts w:eastAsiaTheme="majorEastAsia" w:cstheme="majorBidi"/>
          <w:bCs/>
          <w:color w:val="000000" w:themeColor="text1"/>
          <w:szCs w:val="26"/>
        </w:rPr>
      </w:pPr>
      <w:r w:rsidRPr="00F46127">
        <w:rPr>
          <w:rFonts w:eastAsiaTheme="majorEastAsia" w:cstheme="majorBidi"/>
          <w:bCs/>
          <w:color w:val="000000" w:themeColor="text1"/>
          <w:szCs w:val="26"/>
        </w:rPr>
        <w:t>Please note caveats below the tables.</w:t>
      </w:r>
    </w:p>
    <w:p w14:paraId="4AB98C4C" w14:textId="0314F6D7" w:rsidR="00F46127" w:rsidRPr="00F46127" w:rsidRDefault="00F46127" w:rsidP="009D637E">
      <w:pPr>
        <w:tabs>
          <w:tab w:val="left" w:pos="5400"/>
        </w:tabs>
        <w:rPr>
          <w:rFonts w:eastAsiaTheme="majorEastAsia" w:cstheme="majorBidi"/>
          <w:bCs/>
          <w:i/>
          <w:iCs/>
          <w:color w:val="000000" w:themeColor="text1"/>
          <w:szCs w:val="26"/>
        </w:rPr>
      </w:pPr>
      <w:r w:rsidRPr="00F46127">
        <w:rPr>
          <w:rFonts w:eastAsiaTheme="majorEastAsia" w:cstheme="majorBidi"/>
          <w:bCs/>
          <w:i/>
          <w:iCs/>
          <w:color w:val="000000" w:themeColor="text1"/>
          <w:szCs w:val="26"/>
        </w:rPr>
        <w:t>Table 1: Recorded Religious Hate Crimes (IVPD) – 1 October 2023 – 31 March 2024</w:t>
      </w:r>
    </w:p>
    <w:tbl>
      <w:tblPr>
        <w:tblStyle w:val="TableGrid"/>
        <w:tblW w:w="7278" w:type="dxa"/>
        <w:tblInd w:w="5" w:type="dxa"/>
        <w:tblLook w:val="04A0" w:firstRow="1" w:lastRow="0" w:firstColumn="1" w:lastColumn="0" w:noHBand="0" w:noVBand="1"/>
        <w:tblCaption w:val="Table 1: Recorded Religious Hate Crimes (IVPD) – 1 October 2023 – 31 March 2024"/>
        <w:tblDescription w:val="Table 1: Recorded Religious Hate Crimes (IVPD) – 1 October 2023 – 31 March 2024"/>
      </w:tblPr>
      <w:tblGrid>
        <w:gridCol w:w="2617"/>
        <w:gridCol w:w="750"/>
        <w:gridCol w:w="803"/>
        <w:gridCol w:w="790"/>
        <w:gridCol w:w="764"/>
        <w:gridCol w:w="777"/>
        <w:gridCol w:w="777"/>
      </w:tblGrid>
      <w:tr w:rsidR="009D637E" w:rsidRPr="00557306" w14:paraId="0F5AEE1E" w14:textId="77777777" w:rsidTr="00F46127">
        <w:trPr>
          <w:tblHeader/>
        </w:trPr>
        <w:tc>
          <w:tcPr>
            <w:tcW w:w="2617" w:type="dxa"/>
            <w:tcBorders>
              <w:top w:val="nil"/>
              <w:left w:val="nil"/>
            </w:tcBorders>
            <w:shd w:val="clear" w:color="auto" w:fill="FFFFFF" w:themeFill="background1"/>
          </w:tcPr>
          <w:p w14:paraId="6DAF31DF" w14:textId="77777777" w:rsidR="009D637E" w:rsidRPr="00557306" w:rsidRDefault="009D637E" w:rsidP="00023B65">
            <w:pPr>
              <w:spacing w:line="240" w:lineRule="auto"/>
              <w:rPr>
                <w:b/>
              </w:rPr>
            </w:pPr>
          </w:p>
        </w:tc>
        <w:tc>
          <w:tcPr>
            <w:tcW w:w="2343" w:type="dxa"/>
            <w:gridSpan w:val="3"/>
            <w:shd w:val="clear" w:color="auto" w:fill="D9D9D9" w:themeFill="background1" w:themeFillShade="D9"/>
          </w:tcPr>
          <w:p w14:paraId="6049ED49" w14:textId="1503CA94" w:rsidR="009D637E" w:rsidRPr="00557306" w:rsidRDefault="009D637E" w:rsidP="009D637E">
            <w:pPr>
              <w:spacing w:line="240" w:lineRule="auto"/>
              <w:jc w:val="center"/>
              <w:rPr>
                <w:b/>
              </w:rPr>
            </w:pPr>
            <w:r>
              <w:rPr>
                <w:b/>
              </w:rPr>
              <w:t>2023</w:t>
            </w:r>
          </w:p>
        </w:tc>
        <w:tc>
          <w:tcPr>
            <w:tcW w:w="2318" w:type="dxa"/>
            <w:gridSpan w:val="3"/>
            <w:shd w:val="clear" w:color="auto" w:fill="D9D9D9" w:themeFill="background1" w:themeFillShade="D9"/>
          </w:tcPr>
          <w:p w14:paraId="7D2F0189" w14:textId="1AB9D8C2" w:rsidR="009D637E" w:rsidRPr="00557306" w:rsidRDefault="009D637E" w:rsidP="009D637E">
            <w:pPr>
              <w:spacing w:line="240" w:lineRule="auto"/>
              <w:jc w:val="center"/>
              <w:rPr>
                <w:b/>
              </w:rPr>
            </w:pPr>
            <w:r>
              <w:rPr>
                <w:b/>
              </w:rPr>
              <w:t>2024</w:t>
            </w:r>
          </w:p>
        </w:tc>
      </w:tr>
      <w:tr w:rsidR="009D637E" w:rsidRPr="00557306" w14:paraId="78FD7C32" w14:textId="77777777" w:rsidTr="00F46127">
        <w:trPr>
          <w:tblHeader/>
        </w:trPr>
        <w:tc>
          <w:tcPr>
            <w:tcW w:w="2617" w:type="dxa"/>
            <w:shd w:val="clear" w:color="auto" w:fill="D9D9D9" w:themeFill="background1" w:themeFillShade="D9"/>
          </w:tcPr>
          <w:p w14:paraId="1956559A" w14:textId="62D6ECCA" w:rsidR="009D637E" w:rsidRPr="00557306" w:rsidRDefault="009D637E" w:rsidP="00023B65">
            <w:pPr>
              <w:spacing w:line="240" w:lineRule="auto"/>
              <w:rPr>
                <w:b/>
              </w:rPr>
            </w:pPr>
            <w:r>
              <w:rPr>
                <w:b/>
              </w:rPr>
              <w:t>Category</w:t>
            </w:r>
          </w:p>
        </w:tc>
        <w:tc>
          <w:tcPr>
            <w:tcW w:w="750" w:type="dxa"/>
            <w:shd w:val="clear" w:color="auto" w:fill="D9D9D9" w:themeFill="background1" w:themeFillShade="D9"/>
          </w:tcPr>
          <w:p w14:paraId="201EB0D1" w14:textId="35894F05" w:rsidR="009D637E" w:rsidRPr="00557306" w:rsidRDefault="009D637E" w:rsidP="00023B65">
            <w:pPr>
              <w:spacing w:line="240" w:lineRule="auto"/>
              <w:rPr>
                <w:b/>
              </w:rPr>
            </w:pPr>
            <w:r>
              <w:rPr>
                <w:b/>
              </w:rPr>
              <w:t>Oct</w:t>
            </w:r>
          </w:p>
        </w:tc>
        <w:tc>
          <w:tcPr>
            <w:tcW w:w="803" w:type="dxa"/>
            <w:shd w:val="clear" w:color="auto" w:fill="D9D9D9" w:themeFill="background1" w:themeFillShade="D9"/>
          </w:tcPr>
          <w:p w14:paraId="50D2F0DE" w14:textId="2503A3BF" w:rsidR="009D637E" w:rsidRPr="00557306" w:rsidRDefault="009D637E" w:rsidP="00023B65">
            <w:pPr>
              <w:spacing w:line="240" w:lineRule="auto"/>
              <w:rPr>
                <w:b/>
              </w:rPr>
            </w:pPr>
            <w:r>
              <w:rPr>
                <w:b/>
              </w:rPr>
              <w:t>Nov</w:t>
            </w:r>
          </w:p>
        </w:tc>
        <w:tc>
          <w:tcPr>
            <w:tcW w:w="790" w:type="dxa"/>
            <w:shd w:val="clear" w:color="auto" w:fill="D9D9D9" w:themeFill="background1" w:themeFillShade="D9"/>
          </w:tcPr>
          <w:p w14:paraId="5471FA6C" w14:textId="69A72CA4" w:rsidR="009D637E" w:rsidRPr="00557306" w:rsidRDefault="009D637E" w:rsidP="00023B65">
            <w:pPr>
              <w:spacing w:line="240" w:lineRule="auto"/>
              <w:rPr>
                <w:b/>
              </w:rPr>
            </w:pPr>
            <w:r>
              <w:rPr>
                <w:b/>
              </w:rPr>
              <w:t>Dec</w:t>
            </w:r>
          </w:p>
        </w:tc>
        <w:tc>
          <w:tcPr>
            <w:tcW w:w="764" w:type="dxa"/>
            <w:shd w:val="clear" w:color="auto" w:fill="D9D9D9" w:themeFill="background1" w:themeFillShade="D9"/>
          </w:tcPr>
          <w:p w14:paraId="33A0D96D" w14:textId="3A16D021" w:rsidR="009D637E" w:rsidRPr="00557306" w:rsidRDefault="009D637E" w:rsidP="00023B65">
            <w:pPr>
              <w:spacing w:line="240" w:lineRule="auto"/>
              <w:rPr>
                <w:b/>
              </w:rPr>
            </w:pPr>
            <w:r>
              <w:rPr>
                <w:b/>
              </w:rPr>
              <w:t>Jan</w:t>
            </w:r>
          </w:p>
        </w:tc>
        <w:tc>
          <w:tcPr>
            <w:tcW w:w="777" w:type="dxa"/>
            <w:shd w:val="clear" w:color="auto" w:fill="D9D9D9" w:themeFill="background1" w:themeFillShade="D9"/>
          </w:tcPr>
          <w:p w14:paraId="492CF02A" w14:textId="35191C63" w:rsidR="009D637E" w:rsidRPr="00557306" w:rsidRDefault="009D637E" w:rsidP="00023B65">
            <w:pPr>
              <w:spacing w:line="240" w:lineRule="auto"/>
              <w:rPr>
                <w:b/>
              </w:rPr>
            </w:pPr>
            <w:r>
              <w:rPr>
                <w:b/>
              </w:rPr>
              <w:t>Feb</w:t>
            </w:r>
          </w:p>
        </w:tc>
        <w:tc>
          <w:tcPr>
            <w:tcW w:w="777" w:type="dxa"/>
            <w:shd w:val="clear" w:color="auto" w:fill="D9D9D9" w:themeFill="background1" w:themeFillShade="D9"/>
          </w:tcPr>
          <w:p w14:paraId="3CC1FC6B" w14:textId="114BF2A4" w:rsidR="009D637E" w:rsidRPr="00557306" w:rsidRDefault="009D637E" w:rsidP="00023B65">
            <w:pPr>
              <w:spacing w:line="240" w:lineRule="auto"/>
              <w:rPr>
                <w:b/>
              </w:rPr>
            </w:pPr>
            <w:r>
              <w:rPr>
                <w:b/>
              </w:rPr>
              <w:t>Mar</w:t>
            </w:r>
          </w:p>
        </w:tc>
      </w:tr>
      <w:tr w:rsidR="009D637E" w14:paraId="0AED8290" w14:textId="77777777" w:rsidTr="00F46127">
        <w:tc>
          <w:tcPr>
            <w:tcW w:w="2617" w:type="dxa"/>
          </w:tcPr>
          <w:p w14:paraId="2F927683" w14:textId="3765FB93" w:rsidR="009D637E" w:rsidRDefault="009D637E" w:rsidP="00023B65">
            <w:pPr>
              <w:tabs>
                <w:tab w:val="left" w:pos="5400"/>
              </w:tabs>
              <w:spacing w:line="240" w:lineRule="auto"/>
            </w:pPr>
            <w:r>
              <w:t>Religious Hate Crime</w:t>
            </w:r>
          </w:p>
        </w:tc>
        <w:tc>
          <w:tcPr>
            <w:tcW w:w="750" w:type="dxa"/>
          </w:tcPr>
          <w:p w14:paraId="20D94C3E" w14:textId="4E436D37" w:rsidR="009D637E" w:rsidRDefault="009D637E" w:rsidP="00023B65">
            <w:pPr>
              <w:tabs>
                <w:tab w:val="left" w:pos="5400"/>
              </w:tabs>
              <w:spacing w:line="240" w:lineRule="auto"/>
            </w:pPr>
            <w:r>
              <w:t>38</w:t>
            </w:r>
          </w:p>
        </w:tc>
        <w:tc>
          <w:tcPr>
            <w:tcW w:w="803" w:type="dxa"/>
          </w:tcPr>
          <w:p w14:paraId="1465001C" w14:textId="21F6AAF6" w:rsidR="009D637E" w:rsidRDefault="009D637E" w:rsidP="00023B65">
            <w:pPr>
              <w:tabs>
                <w:tab w:val="left" w:pos="5400"/>
              </w:tabs>
              <w:spacing w:line="240" w:lineRule="auto"/>
            </w:pPr>
            <w:r>
              <w:t>29</w:t>
            </w:r>
          </w:p>
        </w:tc>
        <w:tc>
          <w:tcPr>
            <w:tcW w:w="790" w:type="dxa"/>
          </w:tcPr>
          <w:p w14:paraId="4B4EB965" w14:textId="12C5419B" w:rsidR="009D637E" w:rsidRDefault="009D637E" w:rsidP="00023B65">
            <w:pPr>
              <w:tabs>
                <w:tab w:val="left" w:pos="5400"/>
              </w:tabs>
              <w:spacing w:line="240" w:lineRule="auto"/>
            </w:pPr>
            <w:r>
              <w:t>108</w:t>
            </w:r>
          </w:p>
        </w:tc>
        <w:tc>
          <w:tcPr>
            <w:tcW w:w="764" w:type="dxa"/>
          </w:tcPr>
          <w:p w14:paraId="262B2D7C" w14:textId="3046BE97" w:rsidR="009D637E" w:rsidRDefault="009D637E" w:rsidP="00023B65">
            <w:pPr>
              <w:tabs>
                <w:tab w:val="left" w:pos="5400"/>
              </w:tabs>
              <w:spacing w:line="240" w:lineRule="auto"/>
            </w:pPr>
            <w:r>
              <w:t>37</w:t>
            </w:r>
          </w:p>
        </w:tc>
        <w:tc>
          <w:tcPr>
            <w:tcW w:w="777" w:type="dxa"/>
          </w:tcPr>
          <w:p w14:paraId="7C9653BF" w14:textId="1C90DA04" w:rsidR="009D637E" w:rsidRDefault="009D637E" w:rsidP="00023B65">
            <w:pPr>
              <w:tabs>
                <w:tab w:val="left" w:pos="5400"/>
              </w:tabs>
              <w:spacing w:line="240" w:lineRule="auto"/>
            </w:pPr>
            <w:r>
              <w:t>52</w:t>
            </w:r>
          </w:p>
        </w:tc>
        <w:tc>
          <w:tcPr>
            <w:tcW w:w="777" w:type="dxa"/>
          </w:tcPr>
          <w:p w14:paraId="617CC70F" w14:textId="2C7AF534" w:rsidR="009D637E" w:rsidRDefault="009D637E" w:rsidP="00023B65">
            <w:pPr>
              <w:tabs>
                <w:tab w:val="left" w:pos="5400"/>
              </w:tabs>
              <w:spacing w:line="240" w:lineRule="auto"/>
            </w:pPr>
            <w:r>
              <w:t>48</w:t>
            </w:r>
          </w:p>
        </w:tc>
      </w:tr>
    </w:tbl>
    <w:p w14:paraId="0BE42476" w14:textId="77777777" w:rsidR="00F46127" w:rsidRPr="00F46127" w:rsidRDefault="00F46127" w:rsidP="009D637E">
      <w:pPr>
        <w:tabs>
          <w:tab w:val="left" w:pos="5400"/>
        </w:tabs>
        <w:rPr>
          <w:rFonts w:eastAsiaTheme="majorEastAsia" w:cstheme="majorBidi"/>
          <w:bCs/>
          <w:i/>
          <w:iCs/>
          <w:color w:val="000000" w:themeColor="text1"/>
          <w:szCs w:val="26"/>
        </w:rPr>
      </w:pPr>
      <w:r w:rsidRPr="00F46127">
        <w:rPr>
          <w:rFonts w:eastAsiaTheme="majorEastAsia" w:cstheme="majorBidi"/>
          <w:bCs/>
          <w:i/>
          <w:iCs/>
          <w:color w:val="000000" w:themeColor="text1"/>
          <w:szCs w:val="26"/>
        </w:rPr>
        <w:t>All statistics are provisional and should be treated as management information. All data have been extracted from Police Scotland internal systems and are correct as of 26th August 2025.</w:t>
      </w:r>
    </w:p>
    <w:p w14:paraId="1A16DBDD" w14:textId="77777777" w:rsidR="00F46127" w:rsidRPr="00F46127" w:rsidRDefault="00F46127" w:rsidP="00F46127">
      <w:pPr>
        <w:tabs>
          <w:tab w:val="left" w:pos="5400"/>
        </w:tabs>
        <w:rPr>
          <w:rFonts w:eastAsiaTheme="majorEastAsia" w:cstheme="majorBidi"/>
          <w:bCs/>
          <w:i/>
          <w:iCs/>
          <w:color w:val="000000" w:themeColor="text1"/>
          <w:szCs w:val="26"/>
        </w:rPr>
      </w:pPr>
      <w:r w:rsidRPr="00F46127">
        <w:rPr>
          <w:rFonts w:eastAsiaTheme="majorEastAsia" w:cstheme="majorBidi"/>
          <w:bCs/>
          <w:i/>
          <w:iCs/>
          <w:color w:val="000000" w:themeColor="text1"/>
          <w:szCs w:val="26"/>
        </w:rPr>
        <w:t xml:space="preserve">The data was extracted using the incident's raised date and extracted from iVPD by selecting religious hate aggravator. </w:t>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t xml:space="preserve"> The data prior to the 1st April 2024 has been extracted from the Interim Vulnerable Persons Database (iVPD) using the 'incident created' date.</w:t>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r w:rsidRPr="00F46127">
        <w:rPr>
          <w:rFonts w:eastAsiaTheme="majorEastAsia" w:cstheme="majorBidi"/>
          <w:bCs/>
          <w:i/>
          <w:iCs/>
          <w:color w:val="000000" w:themeColor="text1"/>
          <w:szCs w:val="26"/>
        </w:rPr>
        <w:tab/>
      </w:r>
    </w:p>
    <w:p w14:paraId="1B5AF00C" w14:textId="77777777" w:rsidR="00156B0E" w:rsidRDefault="00F46127" w:rsidP="00F46127">
      <w:pPr>
        <w:tabs>
          <w:tab w:val="left" w:pos="5400"/>
        </w:tabs>
        <w:rPr>
          <w:rFonts w:eastAsiaTheme="majorEastAsia" w:cstheme="majorBidi"/>
          <w:bCs/>
          <w:color w:val="000000" w:themeColor="text1"/>
          <w:szCs w:val="26"/>
        </w:rPr>
      </w:pPr>
      <w:r w:rsidRPr="00F46127">
        <w:rPr>
          <w:rFonts w:eastAsiaTheme="majorEastAsia" w:cstheme="majorBidi"/>
          <w:bCs/>
          <w:i/>
          <w:iCs/>
          <w:color w:val="000000" w:themeColor="text1"/>
          <w:szCs w:val="26"/>
        </w:rPr>
        <w:t xml:space="preserve">Please note, the above table is a count of aggravators for </w:t>
      </w:r>
      <w:r w:rsidR="0050329C" w:rsidRPr="00F46127">
        <w:rPr>
          <w:rFonts w:eastAsiaTheme="majorEastAsia" w:cstheme="majorBidi"/>
          <w:bCs/>
          <w:i/>
          <w:iCs/>
          <w:color w:val="000000" w:themeColor="text1"/>
          <w:szCs w:val="26"/>
        </w:rPr>
        <w:t>religious</w:t>
      </w:r>
      <w:r w:rsidRPr="00F46127">
        <w:rPr>
          <w:rFonts w:eastAsiaTheme="majorEastAsia" w:cstheme="majorBidi"/>
          <w:bCs/>
          <w:i/>
          <w:iCs/>
          <w:color w:val="000000" w:themeColor="text1"/>
          <w:szCs w:val="26"/>
        </w:rPr>
        <w:t>. Multiple aggravators can be added to the one hate crime.</w:t>
      </w:r>
      <w:r w:rsidRPr="00F46127">
        <w:rPr>
          <w:rFonts w:eastAsiaTheme="majorEastAsia" w:cstheme="majorBidi"/>
          <w:bCs/>
          <w:color w:val="000000" w:themeColor="text1"/>
          <w:szCs w:val="26"/>
        </w:rPr>
        <w:tab/>
      </w:r>
    </w:p>
    <w:p w14:paraId="35B6357C" w14:textId="77777777" w:rsidR="00156B0E" w:rsidRDefault="00156B0E" w:rsidP="00156B0E">
      <w:pPr>
        <w:tabs>
          <w:tab w:val="left" w:pos="5400"/>
        </w:tabs>
        <w:rPr>
          <w:rFonts w:eastAsiaTheme="majorEastAsia" w:cstheme="majorBidi"/>
          <w:bCs/>
          <w:i/>
          <w:iCs/>
          <w:color w:val="000000" w:themeColor="text1"/>
          <w:szCs w:val="26"/>
        </w:rPr>
      </w:pPr>
    </w:p>
    <w:p w14:paraId="6E38AD12" w14:textId="0F54726B" w:rsidR="00156B0E" w:rsidRPr="002729B9" w:rsidRDefault="00156B0E" w:rsidP="00156B0E">
      <w:pPr>
        <w:tabs>
          <w:tab w:val="left" w:pos="5400"/>
        </w:tabs>
        <w:rPr>
          <w:rFonts w:eastAsiaTheme="majorEastAsia" w:cstheme="majorBidi"/>
          <w:bCs/>
          <w:i/>
          <w:iCs/>
          <w:color w:val="000000" w:themeColor="text1"/>
          <w:szCs w:val="26"/>
        </w:rPr>
      </w:pPr>
      <w:r w:rsidRPr="002729B9">
        <w:rPr>
          <w:rFonts w:eastAsiaTheme="majorEastAsia" w:cstheme="majorBidi"/>
          <w:bCs/>
          <w:i/>
          <w:iCs/>
          <w:color w:val="000000" w:themeColor="text1"/>
          <w:szCs w:val="26"/>
        </w:rPr>
        <w:t>Table 2: Reason recorded against Religious Hate Concern Incidents – 1 October 2023 – 31 March 2024</w:t>
      </w:r>
    </w:p>
    <w:p w14:paraId="45DB5FA7" w14:textId="77777777" w:rsidR="00156B0E" w:rsidRDefault="00156B0E" w:rsidP="00F46127">
      <w:pPr>
        <w:tabs>
          <w:tab w:val="left" w:pos="5400"/>
        </w:tabs>
        <w:rPr>
          <w:rFonts w:eastAsiaTheme="majorEastAsia" w:cstheme="majorBidi"/>
          <w:bCs/>
          <w:color w:val="000000" w:themeColor="text1"/>
          <w:szCs w:val="26"/>
        </w:rPr>
      </w:pPr>
    </w:p>
    <w:p w14:paraId="1E02E3AC" w14:textId="0AB7BD07" w:rsidR="00156B0E" w:rsidRPr="00F46127" w:rsidRDefault="00F46127" w:rsidP="00F46127">
      <w:pPr>
        <w:tabs>
          <w:tab w:val="left" w:pos="5400"/>
        </w:tabs>
        <w:rPr>
          <w:rFonts w:eastAsiaTheme="majorEastAsia" w:cstheme="majorBidi"/>
          <w:bCs/>
          <w:color w:val="000000" w:themeColor="text1"/>
          <w:szCs w:val="26"/>
        </w:rPr>
      </w:pPr>
      <w:r w:rsidRPr="00F46127">
        <w:rPr>
          <w:rFonts w:eastAsiaTheme="majorEastAsia" w:cstheme="majorBidi"/>
          <w:bCs/>
          <w:color w:val="000000" w:themeColor="text1"/>
          <w:szCs w:val="26"/>
        </w:rPr>
        <w:tab/>
      </w:r>
      <w:r w:rsidRPr="00F46127">
        <w:rPr>
          <w:rFonts w:eastAsiaTheme="majorEastAsia" w:cstheme="majorBidi"/>
          <w:bCs/>
          <w:color w:val="000000" w:themeColor="text1"/>
          <w:szCs w:val="26"/>
        </w:rPr>
        <w:tab/>
      </w:r>
      <w:r w:rsidRPr="00F46127">
        <w:rPr>
          <w:rFonts w:eastAsiaTheme="majorEastAsia" w:cstheme="majorBidi"/>
          <w:bCs/>
          <w:color w:val="000000" w:themeColor="text1"/>
          <w:szCs w:val="26"/>
        </w:rPr>
        <w:tab/>
      </w:r>
      <w:r w:rsidRPr="00F46127">
        <w:rPr>
          <w:rFonts w:eastAsiaTheme="majorEastAsia" w:cstheme="majorBidi"/>
          <w:bCs/>
          <w:color w:val="000000" w:themeColor="text1"/>
          <w:szCs w:val="26"/>
        </w:rPr>
        <w:tab/>
      </w:r>
      <w:r w:rsidRPr="00F46127">
        <w:rPr>
          <w:rFonts w:eastAsiaTheme="majorEastAsia" w:cstheme="majorBidi"/>
          <w:bCs/>
          <w:color w:val="000000" w:themeColor="text1"/>
          <w:szCs w:val="26"/>
        </w:rPr>
        <w:tab/>
      </w:r>
      <w:r w:rsidRPr="00F46127">
        <w:rPr>
          <w:rFonts w:eastAsiaTheme="majorEastAsia" w:cstheme="majorBidi"/>
          <w:bCs/>
          <w:color w:val="000000" w:themeColor="text1"/>
          <w:szCs w:val="26"/>
        </w:rPr>
        <w:tab/>
      </w:r>
    </w:p>
    <w:tbl>
      <w:tblPr>
        <w:tblStyle w:val="TableGrid"/>
        <w:tblW w:w="9461" w:type="dxa"/>
        <w:tblInd w:w="5" w:type="dxa"/>
        <w:tblLook w:val="04A0" w:firstRow="1" w:lastRow="0" w:firstColumn="1" w:lastColumn="0" w:noHBand="0" w:noVBand="1"/>
        <w:tblCaption w:val="Table 2: Reason recorded against Religious Hate Concern Incidents – 1 October 2023 – 31 March 2024"/>
        <w:tblDescription w:val="Table 2: Reason recorded against Religious Hate Concern Incidents – 1 October 2023 – 31 March 2024"/>
      </w:tblPr>
      <w:tblGrid>
        <w:gridCol w:w="4800"/>
        <w:gridCol w:w="750"/>
        <w:gridCol w:w="803"/>
        <w:gridCol w:w="790"/>
        <w:gridCol w:w="764"/>
        <w:gridCol w:w="777"/>
        <w:gridCol w:w="777"/>
      </w:tblGrid>
      <w:tr w:rsidR="00156B0E" w:rsidRPr="00557306" w14:paraId="496B94E4" w14:textId="77777777" w:rsidTr="00753667">
        <w:trPr>
          <w:tblHeader/>
        </w:trPr>
        <w:tc>
          <w:tcPr>
            <w:tcW w:w="4800" w:type="dxa"/>
            <w:tcBorders>
              <w:top w:val="nil"/>
              <w:left w:val="nil"/>
            </w:tcBorders>
            <w:shd w:val="clear" w:color="auto" w:fill="FFFFFF" w:themeFill="background1"/>
          </w:tcPr>
          <w:p w14:paraId="6FE50D48" w14:textId="77777777" w:rsidR="00156B0E" w:rsidRPr="00557306" w:rsidRDefault="00156B0E" w:rsidP="00753667">
            <w:pPr>
              <w:spacing w:line="240" w:lineRule="auto"/>
              <w:rPr>
                <w:b/>
              </w:rPr>
            </w:pPr>
          </w:p>
        </w:tc>
        <w:tc>
          <w:tcPr>
            <w:tcW w:w="2343" w:type="dxa"/>
            <w:gridSpan w:val="3"/>
            <w:shd w:val="clear" w:color="auto" w:fill="D9D9D9" w:themeFill="background1" w:themeFillShade="D9"/>
          </w:tcPr>
          <w:p w14:paraId="413B7BCB" w14:textId="77777777" w:rsidR="00156B0E" w:rsidRPr="00557306" w:rsidRDefault="00156B0E" w:rsidP="00753667">
            <w:pPr>
              <w:spacing w:line="240" w:lineRule="auto"/>
              <w:jc w:val="center"/>
              <w:rPr>
                <w:b/>
              </w:rPr>
            </w:pPr>
            <w:r>
              <w:rPr>
                <w:b/>
              </w:rPr>
              <w:t>2023</w:t>
            </w:r>
          </w:p>
        </w:tc>
        <w:tc>
          <w:tcPr>
            <w:tcW w:w="2318" w:type="dxa"/>
            <w:gridSpan w:val="3"/>
            <w:shd w:val="clear" w:color="auto" w:fill="D9D9D9" w:themeFill="background1" w:themeFillShade="D9"/>
          </w:tcPr>
          <w:p w14:paraId="2208DF4F" w14:textId="77777777" w:rsidR="00156B0E" w:rsidRPr="00557306" w:rsidRDefault="00156B0E" w:rsidP="00753667">
            <w:pPr>
              <w:spacing w:line="240" w:lineRule="auto"/>
              <w:jc w:val="center"/>
              <w:rPr>
                <w:b/>
              </w:rPr>
            </w:pPr>
            <w:r>
              <w:rPr>
                <w:b/>
              </w:rPr>
              <w:t>2024</w:t>
            </w:r>
          </w:p>
        </w:tc>
      </w:tr>
      <w:tr w:rsidR="00156B0E" w:rsidRPr="00557306" w14:paraId="11FFA60E" w14:textId="77777777" w:rsidTr="00753667">
        <w:trPr>
          <w:tblHeader/>
        </w:trPr>
        <w:tc>
          <w:tcPr>
            <w:tcW w:w="4800" w:type="dxa"/>
            <w:shd w:val="clear" w:color="auto" w:fill="D9D9D9" w:themeFill="background1" w:themeFillShade="D9"/>
          </w:tcPr>
          <w:p w14:paraId="3F3BDBB3" w14:textId="77777777" w:rsidR="00156B0E" w:rsidRPr="00557306" w:rsidRDefault="00156B0E" w:rsidP="00753667">
            <w:pPr>
              <w:spacing w:line="240" w:lineRule="auto"/>
              <w:rPr>
                <w:b/>
              </w:rPr>
            </w:pPr>
            <w:r>
              <w:rPr>
                <w:b/>
              </w:rPr>
              <w:t>Religious Hate Reason</w:t>
            </w:r>
          </w:p>
        </w:tc>
        <w:tc>
          <w:tcPr>
            <w:tcW w:w="750" w:type="dxa"/>
            <w:shd w:val="clear" w:color="auto" w:fill="D9D9D9" w:themeFill="background1" w:themeFillShade="D9"/>
          </w:tcPr>
          <w:p w14:paraId="766838F1" w14:textId="77777777" w:rsidR="00156B0E" w:rsidRPr="00557306" w:rsidRDefault="00156B0E" w:rsidP="00753667">
            <w:pPr>
              <w:spacing w:line="240" w:lineRule="auto"/>
              <w:rPr>
                <w:b/>
              </w:rPr>
            </w:pPr>
            <w:r>
              <w:rPr>
                <w:b/>
              </w:rPr>
              <w:t>Oct</w:t>
            </w:r>
          </w:p>
        </w:tc>
        <w:tc>
          <w:tcPr>
            <w:tcW w:w="803" w:type="dxa"/>
            <w:shd w:val="clear" w:color="auto" w:fill="D9D9D9" w:themeFill="background1" w:themeFillShade="D9"/>
          </w:tcPr>
          <w:p w14:paraId="175D6A5E" w14:textId="77777777" w:rsidR="00156B0E" w:rsidRPr="00557306" w:rsidRDefault="00156B0E" w:rsidP="00753667">
            <w:pPr>
              <w:spacing w:line="240" w:lineRule="auto"/>
              <w:rPr>
                <w:b/>
              </w:rPr>
            </w:pPr>
            <w:r>
              <w:rPr>
                <w:b/>
              </w:rPr>
              <w:t>Nov</w:t>
            </w:r>
          </w:p>
        </w:tc>
        <w:tc>
          <w:tcPr>
            <w:tcW w:w="790" w:type="dxa"/>
            <w:shd w:val="clear" w:color="auto" w:fill="D9D9D9" w:themeFill="background1" w:themeFillShade="D9"/>
          </w:tcPr>
          <w:p w14:paraId="75C65284" w14:textId="77777777" w:rsidR="00156B0E" w:rsidRPr="00557306" w:rsidRDefault="00156B0E" w:rsidP="00753667">
            <w:pPr>
              <w:spacing w:line="240" w:lineRule="auto"/>
              <w:rPr>
                <w:b/>
              </w:rPr>
            </w:pPr>
            <w:r>
              <w:rPr>
                <w:b/>
              </w:rPr>
              <w:t>Dec</w:t>
            </w:r>
          </w:p>
        </w:tc>
        <w:tc>
          <w:tcPr>
            <w:tcW w:w="764" w:type="dxa"/>
            <w:shd w:val="clear" w:color="auto" w:fill="D9D9D9" w:themeFill="background1" w:themeFillShade="D9"/>
          </w:tcPr>
          <w:p w14:paraId="54587EE6" w14:textId="77777777" w:rsidR="00156B0E" w:rsidRPr="00557306" w:rsidRDefault="00156B0E" w:rsidP="00753667">
            <w:pPr>
              <w:spacing w:line="240" w:lineRule="auto"/>
              <w:rPr>
                <w:b/>
              </w:rPr>
            </w:pPr>
            <w:r>
              <w:rPr>
                <w:b/>
              </w:rPr>
              <w:t>Jan</w:t>
            </w:r>
          </w:p>
        </w:tc>
        <w:tc>
          <w:tcPr>
            <w:tcW w:w="777" w:type="dxa"/>
            <w:shd w:val="clear" w:color="auto" w:fill="D9D9D9" w:themeFill="background1" w:themeFillShade="D9"/>
          </w:tcPr>
          <w:p w14:paraId="62091B97" w14:textId="77777777" w:rsidR="00156B0E" w:rsidRPr="00557306" w:rsidRDefault="00156B0E" w:rsidP="00753667">
            <w:pPr>
              <w:spacing w:line="240" w:lineRule="auto"/>
              <w:rPr>
                <w:b/>
              </w:rPr>
            </w:pPr>
            <w:r>
              <w:rPr>
                <w:b/>
              </w:rPr>
              <w:t>Feb</w:t>
            </w:r>
          </w:p>
        </w:tc>
        <w:tc>
          <w:tcPr>
            <w:tcW w:w="777" w:type="dxa"/>
            <w:shd w:val="clear" w:color="auto" w:fill="D9D9D9" w:themeFill="background1" w:themeFillShade="D9"/>
          </w:tcPr>
          <w:p w14:paraId="12744820" w14:textId="77777777" w:rsidR="00156B0E" w:rsidRPr="00557306" w:rsidRDefault="00156B0E" w:rsidP="00753667">
            <w:pPr>
              <w:spacing w:line="240" w:lineRule="auto"/>
              <w:rPr>
                <w:b/>
              </w:rPr>
            </w:pPr>
            <w:r>
              <w:rPr>
                <w:b/>
              </w:rPr>
              <w:t>Mar</w:t>
            </w:r>
          </w:p>
        </w:tc>
      </w:tr>
      <w:tr w:rsidR="00156B0E" w14:paraId="5DC91A8D" w14:textId="77777777" w:rsidTr="00753667">
        <w:tc>
          <w:tcPr>
            <w:tcW w:w="4800" w:type="dxa"/>
          </w:tcPr>
          <w:p w14:paraId="179223EE" w14:textId="77777777" w:rsidR="00156B0E" w:rsidRDefault="00156B0E" w:rsidP="00753667">
            <w:pPr>
              <w:tabs>
                <w:tab w:val="left" w:pos="5400"/>
              </w:tabs>
              <w:spacing w:line="240" w:lineRule="auto"/>
            </w:pPr>
            <w:r>
              <w:t>Appearance (Clothing, football colours etc)</w:t>
            </w:r>
          </w:p>
        </w:tc>
        <w:tc>
          <w:tcPr>
            <w:tcW w:w="750" w:type="dxa"/>
          </w:tcPr>
          <w:p w14:paraId="5C7927D1" w14:textId="77777777" w:rsidR="00156B0E" w:rsidRDefault="00156B0E" w:rsidP="00753667">
            <w:pPr>
              <w:tabs>
                <w:tab w:val="left" w:pos="5400"/>
              </w:tabs>
              <w:spacing w:line="240" w:lineRule="auto"/>
            </w:pPr>
            <w:r>
              <w:t>3</w:t>
            </w:r>
          </w:p>
        </w:tc>
        <w:tc>
          <w:tcPr>
            <w:tcW w:w="803" w:type="dxa"/>
          </w:tcPr>
          <w:p w14:paraId="2EF96C45" w14:textId="77777777" w:rsidR="00156B0E" w:rsidRDefault="00156B0E" w:rsidP="00753667">
            <w:pPr>
              <w:tabs>
                <w:tab w:val="left" w:pos="5400"/>
              </w:tabs>
              <w:spacing w:line="240" w:lineRule="auto"/>
            </w:pPr>
            <w:r>
              <w:t>4</w:t>
            </w:r>
          </w:p>
        </w:tc>
        <w:tc>
          <w:tcPr>
            <w:tcW w:w="790" w:type="dxa"/>
          </w:tcPr>
          <w:p w14:paraId="31BB69C2" w14:textId="77777777" w:rsidR="00156B0E" w:rsidRDefault="00156B0E" w:rsidP="00753667">
            <w:pPr>
              <w:tabs>
                <w:tab w:val="left" w:pos="5400"/>
              </w:tabs>
              <w:spacing w:line="240" w:lineRule="auto"/>
            </w:pPr>
            <w:r>
              <w:t>2</w:t>
            </w:r>
          </w:p>
        </w:tc>
        <w:tc>
          <w:tcPr>
            <w:tcW w:w="764" w:type="dxa"/>
          </w:tcPr>
          <w:p w14:paraId="7DD51762" w14:textId="77777777" w:rsidR="00156B0E" w:rsidRDefault="00156B0E" w:rsidP="00753667">
            <w:pPr>
              <w:tabs>
                <w:tab w:val="left" w:pos="5400"/>
              </w:tabs>
              <w:spacing w:line="240" w:lineRule="auto"/>
            </w:pPr>
            <w:r>
              <w:t>2</w:t>
            </w:r>
          </w:p>
        </w:tc>
        <w:tc>
          <w:tcPr>
            <w:tcW w:w="777" w:type="dxa"/>
          </w:tcPr>
          <w:p w14:paraId="72EEF79F" w14:textId="77777777" w:rsidR="00156B0E" w:rsidRDefault="00156B0E" w:rsidP="00753667">
            <w:pPr>
              <w:tabs>
                <w:tab w:val="left" w:pos="5400"/>
              </w:tabs>
              <w:spacing w:line="240" w:lineRule="auto"/>
            </w:pPr>
            <w:r>
              <w:t>0</w:t>
            </w:r>
          </w:p>
        </w:tc>
        <w:tc>
          <w:tcPr>
            <w:tcW w:w="777" w:type="dxa"/>
          </w:tcPr>
          <w:p w14:paraId="549E73B0" w14:textId="77777777" w:rsidR="00156B0E" w:rsidRDefault="00156B0E" w:rsidP="00753667">
            <w:pPr>
              <w:tabs>
                <w:tab w:val="left" w:pos="5400"/>
              </w:tabs>
              <w:spacing w:line="240" w:lineRule="auto"/>
            </w:pPr>
            <w:r>
              <w:t>3</w:t>
            </w:r>
          </w:p>
        </w:tc>
      </w:tr>
      <w:tr w:rsidR="00156B0E" w14:paraId="1D1FF408" w14:textId="77777777" w:rsidTr="00753667">
        <w:tc>
          <w:tcPr>
            <w:tcW w:w="4800" w:type="dxa"/>
          </w:tcPr>
          <w:p w14:paraId="070C777B" w14:textId="77777777" w:rsidR="00156B0E" w:rsidRDefault="00156B0E" w:rsidP="00753667">
            <w:pPr>
              <w:tabs>
                <w:tab w:val="left" w:pos="5400"/>
              </w:tabs>
              <w:spacing w:line="240" w:lineRule="auto"/>
            </w:pPr>
            <w:r>
              <w:t>Catholic</w:t>
            </w:r>
          </w:p>
        </w:tc>
        <w:tc>
          <w:tcPr>
            <w:tcW w:w="750" w:type="dxa"/>
          </w:tcPr>
          <w:p w14:paraId="04505E83" w14:textId="77777777" w:rsidR="00156B0E" w:rsidRDefault="00156B0E" w:rsidP="00753667">
            <w:pPr>
              <w:tabs>
                <w:tab w:val="left" w:pos="5400"/>
              </w:tabs>
              <w:spacing w:line="240" w:lineRule="auto"/>
            </w:pPr>
            <w:r>
              <w:t>21</w:t>
            </w:r>
          </w:p>
        </w:tc>
        <w:tc>
          <w:tcPr>
            <w:tcW w:w="803" w:type="dxa"/>
          </w:tcPr>
          <w:p w14:paraId="1A467D3E" w14:textId="77777777" w:rsidR="00156B0E" w:rsidRDefault="00156B0E" w:rsidP="00753667">
            <w:pPr>
              <w:tabs>
                <w:tab w:val="left" w:pos="5400"/>
              </w:tabs>
              <w:spacing w:line="240" w:lineRule="auto"/>
            </w:pPr>
            <w:r>
              <w:t>13</w:t>
            </w:r>
          </w:p>
        </w:tc>
        <w:tc>
          <w:tcPr>
            <w:tcW w:w="790" w:type="dxa"/>
          </w:tcPr>
          <w:p w14:paraId="1D3F691A" w14:textId="77777777" w:rsidR="00156B0E" w:rsidRDefault="00156B0E" w:rsidP="00753667">
            <w:pPr>
              <w:tabs>
                <w:tab w:val="left" w:pos="5400"/>
              </w:tabs>
              <w:spacing w:line="240" w:lineRule="auto"/>
            </w:pPr>
            <w:r>
              <w:t>20</w:t>
            </w:r>
          </w:p>
        </w:tc>
        <w:tc>
          <w:tcPr>
            <w:tcW w:w="764" w:type="dxa"/>
          </w:tcPr>
          <w:p w14:paraId="24AFB90D" w14:textId="77777777" w:rsidR="00156B0E" w:rsidRDefault="00156B0E" w:rsidP="00753667">
            <w:pPr>
              <w:tabs>
                <w:tab w:val="left" w:pos="5400"/>
              </w:tabs>
              <w:spacing w:line="240" w:lineRule="auto"/>
            </w:pPr>
            <w:r>
              <w:t>8</w:t>
            </w:r>
          </w:p>
        </w:tc>
        <w:tc>
          <w:tcPr>
            <w:tcW w:w="777" w:type="dxa"/>
          </w:tcPr>
          <w:p w14:paraId="045B00D1" w14:textId="77777777" w:rsidR="00156B0E" w:rsidRDefault="00156B0E" w:rsidP="00753667">
            <w:pPr>
              <w:tabs>
                <w:tab w:val="left" w:pos="5400"/>
              </w:tabs>
              <w:spacing w:line="240" w:lineRule="auto"/>
            </w:pPr>
            <w:r>
              <w:t>27</w:t>
            </w:r>
          </w:p>
        </w:tc>
        <w:tc>
          <w:tcPr>
            <w:tcW w:w="777" w:type="dxa"/>
          </w:tcPr>
          <w:p w14:paraId="323B0447" w14:textId="77777777" w:rsidR="00156B0E" w:rsidRDefault="00156B0E" w:rsidP="00753667">
            <w:pPr>
              <w:tabs>
                <w:tab w:val="left" w:pos="5400"/>
              </w:tabs>
              <w:spacing w:line="240" w:lineRule="auto"/>
            </w:pPr>
            <w:r>
              <w:t>17</w:t>
            </w:r>
          </w:p>
        </w:tc>
      </w:tr>
      <w:tr w:rsidR="00156B0E" w14:paraId="265767D2" w14:textId="77777777" w:rsidTr="00753667">
        <w:tc>
          <w:tcPr>
            <w:tcW w:w="4800" w:type="dxa"/>
          </w:tcPr>
          <w:p w14:paraId="6DE1A162" w14:textId="77777777" w:rsidR="00156B0E" w:rsidRDefault="00156B0E" w:rsidP="00753667">
            <w:pPr>
              <w:tabs>
                <w:tab w:val="left" w:pos="5400"/>
              </w:tabs>
              <w:spacing w:line="240" w:lineRule="auto"/>
            </w:pPr>
            <w:r>
              <w:t>Hindu</w:t>
            </w:r>
          </w:p>
        </w:tc>
        <w:tc>
          <w:tcPr>
            <w:tcW w:w="750" w:type="dxa"/>
          </w:tcPr>
          <w:p w14:paraId="03F91B93" w14:textId="77777777" w:rsidR="00156B0E" w:rsidRDefault="00156B0E" w:rsidP="00753667">
            <w:pPr>
              <w:tabs>
                <w:tab w:val="left" w:pos="5400"/>
              </w:tabs>
              <w:spacing w:line="240" w:lineRule="auto"/>
            </w:pPr>
            <w:r>
              <w:t>1</w:t>
            </w:r>
          </w:p>
        </w:tc>
        <w:tc>
          <w:tcPr>
            <w:tcW w:w="803" w:type="dxa"/>
          </w:tcPr>
          <w:p w14:paraId="06A38A55" w14:textId="77777777" w:rsidR="00156B0E" w:rsidRDefault="00156B0E" w:rsidP="00753667">
            <w:pPr>
              <w:tabs>
                <w:tab w:val="left" w:pos="5400"/>
              </w:tabs>
              <w:spacing w:line="240" w:lineRule="auto"/>
            </w:pPr>
            <w:r>
              <w:t>0</w:t>
            </w:r>
          </w:p>
        </w:tc>
        <w:tc>
          <w:tcPr>
            <w:tcW w:w="790" w:type="dxa"/>
          </w:tcPr>
          <w:p w14:paraId="4AFE8DA2" w14:textId="77777777" w:rsidR="00156B0E" w:rsidRDefault="00156B0E" w:rsidP="00753667">
            <w:pPr>
              <w:tabs>
                <w:tab w:val="left" w:pos="5400"/>
              </w:tabs>
              <w:spacing w:line="240" w:lineRule="auto"/>
            </w:pPr>
            <w:r>
              <w:t>0</w:t>
            </w:r>
          </w:p>
        </w:tc>
        <w:tc>
          <w:tcPr>
            <w:tcW w:w="764" w:type="dxa"/>
          </w:tcPr>
          <w:p w14:paraId="228C66E1" w14:textId="77777777" w:rsidR="00156B0E" w:rsidRDefault="00156B0E" w:rsidP="00753667">
            <w:pPr>
              <w:tabs>
                <w:tab w:val="left" w:pos="5400"/>
              </w:tabs>
              <w:spacing w:line="240" w:lineRule="auto"/>
            </w:pPr>
            <w:r>
              <w:t>0</w:t>
            </w:r>
          </w:p>
        </w:tc>
        <w:tc>
          <w:tcPr>
            <w:tcW w:w="777" w:type="dxa"/>
          </w:tcPr>
          <w:p w14:paraId="7F539635" w14:textId="77777777" w:rsidR="00156B0E" w:rsidRDefault="00156B0E" w:rsidP="00753667">
            <w:pPr>
              <w:tabs>
                <w:tab w:val="left" w:pos="5400"/>
              </w:tabs>
              <w:spacing w:line="240" w:lineRule="auto"/>
            </w:pPr>
            <w:r>
              <w:t>0</w:t>
            </w:r>
          </w:p>
        </w:tc>
        <w:tc>
          <w:tcPr>
            <w:tcW w:w="777" w:type="dxa"/>
          </w:tcPr>
          <w:p w14:paraId="44B6729A" w14:textId="77777777" w:rsidR="00156B0E" w:rsidRDefault="00156B0E" w:rsidP="00753667">
            <w:pPr>
              <w:tabs>
                <w:tab w:val="left" w:pos="5400"/>
              </w:tabs>
              <w:spacing w:line="240" w:lineRule="auto"/>
            </w:pPr>
            <w:r>
              <w:t>0</w:t>
            </w:r>
          </w:p>
        </w:tc>
      </w:tr>
      <w:tr w:rsidR="00156B0E" w14:paraId="176537DB" w14:textId="77777777" w:rsidTr="00753667">
        <w:tc>
          <w:tcPr>
            <w:tcW w:w="4800" w:type="dxa"/>
          </w:tcPr>
          <w:p w14:paraId="0236B005" w14:textId="77777777" w:rsidR="00156B0E" w:rsidRDefault="00156B0E" w:rsidP="00753667">
            <w:pPr>
              <w:tabs>
                <w:tab w:val="left" w:pos="5400"/>
              </w:tabs>
              <w:spacing w:line="240" w:lineRule="auto"/>
            </w:pPr>
            <w:r>
              <w:t>Jewish</w:t>
            </w:r>
          </w:p>
        </w:tc>
        <w:tc>
          <w:tcPr>
            <w:tcW w:w="750" w:type="dxa"/>
          </w:tcPr>
          <w:p w14:paraId="070B634C" w14:textId="77777777" w:rsidR="00156B0E" w:rsidRDefault="00156B0E" w:rsidP="00753667">
            <w:pPr>
              <w:tabs>
                <w:tab w:val="left" w:pos="5400"/>
              </w:tabs>
              <w:spacing w:line="240" w:lineRule="auto"/>
            </w:pPr>
            <w:r>
              <w:t>20</w:t>
            </w:r>
          </w:p>
        </w:tc>
        <w:tc>
          <w:tcPr>
            <w:tcW w:w="803" w:type="dxa"/>
          </w:tcPr>
          <w:p w14:paraId="5AED05EB" w14:textId="77777777" w:rsidR="00156B0E" w:rsidRDefault="00156B0E" w:rsidP="00753667">
            <w:pPr>
              <w:tabs>
                <w:tab w:val="left" w:pos="5400"/>
              </w:tabs>
              <w:spacing w:line="240" w:lineRule="auto"/>
            </w:pPr>
            <w:r>
              <w:t>19</w:t>
            </w:r>
          </w:p>
        </w:tc>
        <w:tc>
          <w:tcPr>
            <w:tcW w:w="790" w:type="dxa"/>
          </w:tcPr>
          <w:p w14:paraId="5208F8C1" w14:textId="77777777" w:rsidR="00156B0E" w:rsidRDefault="00156B0E" w:rsidP="00753667">
            <w:pPr>
              <w:tabs>
                <w:tab w:val="left" w:pos="5400"/>
              </w:tabs>
              <w:spacing w:line="240" w:lineRule="auto"/>
            </w:pPr>
            <w:r>
              <w:t>10</w:t>
            </w:r>
          </w:p>
        </w:tc>
        <w:tc>
          <w:tcPr>
            <w:tcW w:w="764" w:type="dxa"/>
          </w:tcPr>
          <w:p w14:paraId="3D3BE05A" w14:textId="77777777" w:rsidR="00156B0E" w:rsidRDefault="00156B0E" w:rsidP="00753667">
            <w:pPr>
              <w:tabs>
                <w:tab w:val="left" w:pos="5400"/>
              </w:tabs>
              <w:spacing w:line="240" w:lineRule="auto"/>
            </w:pPr>
            <w:r>
              <w:t>4</w:t>
            </w:r>
          </w:p>
        </w:tc>
        <w:tc>
          <w:tcPr>
            <w:tcW w:w="777" w:type="dxa"/>
          </w:tcPr>
          <w:p w14:paraId="3D1AA72D" w14:textId="77777777" w:rsidR="00156B0E" w:rsidRDefault="00156B0E" w:rsidP="00753667">
            <w:pPr>
              <w:tabs>
                <w:tab w:val="left" w:pos="5400"/>
              </w:tabs>
              <w:spacing w:line="240" w:lineRule="auto"/>
            </w:pPr>
            <w:r>
              <w:t>12</w:t>
            </w:r>
          </w:p>
        </w:tc>
        <w:tc>
          <w:tcPr>
            <w:tcW w:w="777" w:type="dxa"/>
          </w:tcPr>
          <w:p w14:paraId="428C31F4" w14:textId="77777777" w:rsidR="00156B0E" w:rsidRDefault="00156B0E" w:rsidP="00753667">
            <w:pPr>
              <w:tabs>
                <w:tab w:val="left" w:pos="5400"/>
              </w:tabs>
              <w:spacing w:line="240" w:lineRule="auto"/>
            </w:pPr>
            <w:r>
              <w:t>9</w:t>
            </w:r>
          </w:p>
        </w:tc>
      </w:tr>
      <w:tr w:rsidR="00156B0E" w14:paraId="3415EDD8" w14:textId="77777777" w:rsidTr="00753667">
        <w:tc>
          <w:tcPr>
            <w:tcW w:w="4800" w:type="dxa"/>
          </w:tcPr>
          <w:p w14:paraId="211C9AB6" w14:textId="77777777" w:rsidR="00156B0E" w:rsidRDefault="00156B0E" w:rsidP="00753667">
            <w:pPr>
              <w:tabs>
                <w:tab w:val="left" w:pos="5400"/>
              </w:tabs>
              <w:spacing w:line="240" w:lineRule="auto"/>
            </w:pPr>
            <w:r>
              <w:t>Muslim</w:t>
            </w:r>
          </w:p>
        </w:tc>
        <w:tc>
          <w:tcPr>
            <w:tcW w:w="750" w:type="dxa"/>
          </w:tcPr>
          <w:p w14:paraId="6167FCE6" w14:textId="77777777" w:rsidR="00156B0E" w:rsidRDefault="00156B0E" w:rsidP="00753667">
            <w:pPr>
              <w:tabs>
                <w:tab w:val="left" w:pos="5400"/>
              </w:tabs>
              <w:spacing w:line="240" w:lineRule="auto"/>
            </w:pPr>
            <w:r>
              <w:t>17</w:t>
            </w:r>
          </w:p>
        </w:tc>
        <w:tc>
          <w:tcPr>
            <w:tcW w:w="803" w:type="dxa"/>
          </w:tcPr>
          <w:p w14:paraId="6D5DFA04" w14:textId="77777777" w:rsidR="00156B0E" w:rsidRDefault="00156B0E" w:rsidP="00753667">
            <w:pPr>
              <w:tabs>
                <w:tab w:val="left" w:pos="5400"/>
              </w:tabs>
              <w:spacing w:line="240" w:lineRule="auto"/>
            </w:pPr>
            <w:r>
              <w:t>17</w:t>
            </w:r>
          </w:p>
        </w:tc>
        <w:tc>
          <w:tcPr>
            <w:tcW w:w="790" w:type="dxa"/>
          </w:tcPr>
          <w:p w14:paraId="494D4BF6" w14:textId="77777777" w:rsidR="00156B0E" w:rsidRDefault="00156B0E" w:rsidP="00753667">
            <w:pPr>
              <w:tabs>
                <w:tab w:val="left" w:pos="5400"/>
              </w:tabs>
              <w:spacing w:line="240" w:lineRule="auto"/>
            </w:pPr>
            <w:r>
              <w:t>41</w:t>
            </w:r>
          </w:p>
        </w:tc>
        <w:tc>
          <w:tcPr>
            <w:tcW w:w="764" w:type="dxa"/>
          </w:tcPr>
          <w:p w14:paraId="3567F469" w14:textId="77777777" w:rsidR="00156B0E" w:rsidRDefault="00156B0E" w:rsidP="00753667">
            <w:pPr>
              <w:tabs>
                <w:tab w:val="left" w:pos="5400"/>
              </w:tabs>
              <w:spacing w:line="240" w:lineRule="auto"/>
            </w:pPr>
            <w:r>
              <w:t>28</w:t>
            </w:r>
          </w:p>
        </w:tc>
        <w:tc>
          <w:tcPr>
            <w:tcW w:w="777" w:type="dxa"/>
          </w:tcPr>
          <w:p w14:paraId="70182407" w14:textId="77777777" w:rsidR="00156B0E" w:rsidRDefault="00156B0E" w:rsidP="00753667">
            <w:pPr>
              <w:tabs>
                <w:tab w:val="left" w:pos="5400"/>
              </w:tabs>
              <w:spacing w:line="240" w:lineRule="auto"/>
            </w:pPr>
            <w:r>
              <w:t>25</w:t>
            </w:r>
          </w:p>
        </w:tc>
        <w:tc>
          <w:tcPr>
            <w:tcW w:w="777" w:type="dxa"/>
          </w:tcPr>
          <w:p w14:paraId="692B101C" w14:textId="77777777" w:rsidR="00156B0E" w:rsidRDefault="00156B0E" w:rsidP="00753667">
            <w:pPr>
              <w:tabs>
                <w:tab w:val="left" w:pos="5400"/>
              </w:tabs>
              <w:spacing w:line="240" w:lineRule="auto"/>
            </w:pPr>
            <w:r>
              <w:t>19</w:t>
            </w:r>
          </w:p>
        </w:tc>
      </w:tr>
      <w:tr w:rsidR="00156B0E" w14:paraId="25219E66" w14:textId="77777777" w:rsidTr="00753667">
        <w:tc>
          <w:tcPr>
            <w:tcW w:w="4800" w:type="dxa"/>
          </w:tcPr>
          <w:p w14:paraId="485251FB" w14:textId="77777777" w:rsidR="00156B0E" w:rsidRDefault="00156B0E" w:rsidP="00753667">
            <w:pPr>
              <w:tabs>
                <w:tab w:val="left" w:pos="5400"/>
              </w:tabs>
              <w:spacing w:line="240" w:lineRule="auto"/>
            </w:pPr>
            <w:r>
              <w:t>Other</w:t>
            </w:r>
          </w:p>
        </w:tc>
        <w:tc>
          <w:tcPr>
            <w:tcW w:w="750" w:type="dxa"/>
          </w:tcPr>
          <w:p w14:paraId="191FF436" w14:textId="77777777" w:rsidR="00156B0E" w:rsidRDefault="00156B0E" w:rsidP="00753667">
            <w:pPr>
              <w:tabs>
                <w:tab w:val="left" w:pos="5400"/>
              </w:tabs>
              <w:spacing w:line="240" w:lineRule="auto"/>
            </w:pPr>
            <w:r>
              <w:t>5</w:t>
            </w:r>
          </w:p>
        </w:tc>
        <w:tc>
          <w:tcPr>
            <w:tcW w:w="803" w:type="dxa"/>
          </w:tcPr>
          <w:p w14:paraId="79E86FEA" w14:textId="77777777" w:rsidR="00156B0E" w:rsidRDefault="00156B0E" w:rsidP="00753667">
            <w:pPr>
              <w:tabs>
                <w:tab w:val="left" w:pos="5400"/>
              </w:tabs>
              <w:spacing w:line="240" w:lineRule="auto"/>
            </w:pPr>
            <w:r>
              <w:t>9</w:t>
            </w:r>
          </w:p>
        </w:tc>
        <w:tc>
          <w:tcPr>
            <w:tcW w:w="790" w:type="dxa"/>
          </w:tcPr>
          <w:p w14:paraId="651A5BF7" w14:textId="77777777" w:rsidR="00156B0E" w:rsidRDefault="00156B0E" w:rsidP="00753667">
            <w:pPr>
              <w:tabs>
                <w:tab w:val="left" w:pos="5400"/>
              </w:tabs>
              <w:spacing w:line="240" w:lineRule="auto"/>
            </w:pPr>
            <w:r>
              <w:t>4</w:t>
            </w:r>
          </w:p>
        </w:tc>
        <w:tc>
          <w:tcPr>
            <w:tcW w:w="764" w:type="dxa"/>
          </w:tcPr>
          <w:p w14:paraId="3F470B97" w14:textId="77777777" w:rsidR="00156B0E" w:rsidRDefault="00156B0E" w:rsidP="00753667">
            <w:pPr>
              <w:tabs>
                <w:tab w:val="left" w:pos="5400"/>
              </w:tabs>
              <w:spacing w:line="240" w:lineRule="auto"/>
            </w:pPr>
            <w:r>
              <w:t>5</w:t>
            </w:r>
          </w:p>
        </w:tc>
        <w:tc>
          <w:tcPr>
            <w:tcW w:w="777" w:type="dxa"/>
          </w:tcPr>
          <w:p w14:paraId="2394792C" w14:textId="77777777" w:rsidR="00156B0E" w:rsidRDefault="00156B0E" w:rsidP="00753667">
            <w:pPr>
              <w:tabs>
                <w:tab w:val="left" w:pos="5400"/>
              </w:tabs>
              <w:spacing w:line="240" w:lineRule="auto"/>
            </w:pPr>
            <w:r>
              <w:t>2</w:t>
            </w:r>
          </w:p>
        </w:tc>
        <w:tc>
          <w:tcPr>
            <w:tcW w:w="777" w:type="dxa"/>
          </w:tcPr>
          <w:p w14:paraId="11F9543F" w14:textId="77777777" w:rsidR="00156B0E" w:rsidRDefault="00156B0E" w:rsidP="00753667">
            <w:pPr>
              <w:tabs>
                <w:tab w:val="left" w:pos="5400"/>
              </w:tabs>
              <w:spacing w:line="240" w:lineRule="auto"/>
            </w:pPr>
            <w:r>
              <w:t>8</w:t>
            </w:r>
          </w:p>
        </w:tc>
      </w:tr>
      <w:tr w:rsidR="00156B0E" w14:paraId="348366F4" w14:textId="77777777" w:rsidTr="00753667">
        <w:tc>
          <w:tcPr>
            <w:tcW w:w="4800" w:type="dxa"/>
          </w:tcPr>
          <w:p w14:paraId="15C67AA9" w14:textId="77777777" w:rsidR="00156B0E" w:rsidRDefault="00156B0E" w:rsidP="00753667">
            <w:pPr>
              <w:tabs>
                <w:tab w:val="left" w:pos="5400"/>
              </w:tabs>
              <w:spacing w:line="240" w:lineRule="auto"/>
            </w:pPr>
            <w:r>
              <w:t>Other Christian</w:t>
            </w:r>
          </w:p>
        </w:tc>
        <w:tc>
          <w:tcPr>
            <w:tcW w:w="750" w:type="dxa"/>
          </w:tcPr>
          <w:p w14:paraId="7A5C636F" w14:textId="77777777" w:rsidR="00156B0E" w:rsidRDefault="00156B0E" w:rsidP="00753667">
            <w:pPr>
              <w:tabs>
                <w:tab w:val="left" w:pos="5400"/>
              </w:tabs>
              <w:spacing w:line="240" w:lineRule="auto"/>
            </w:pPr>
            <w:r>
              <w:t>0</w:t>
            </w:r>
          </w:p>
        </w:tc>
        <w:tc>
          <w:tcPr>
            <w:tcW w:w="803" w:type="dxa"/>
          </w:tcPr>
          <w:p w14:paraId="455F8273" w14:textId="77777777" w:rsidR="00156B0E" w:rsidRDefault="00156B0E" w:rsidP="00753667">
            <w:pPr>
              <w:tabs>
                <w:tab w:val="left" w:pos="5400"/>
              </w:tabs>
              <w:spacing w:line="240" w:lineRule="auto"/>
            </w:pPr>
            <w:r>
              <w:t>1</w:t>
            </w:r>
          </w:p>
        </w:tc>
        <w:tc>
          <w:tcPr>
            <w:tcW w:w="790" w:type="dxa"/>
          </w:tcPr>
          <w:p w14:paraId="7C1C499E" w14:textId="77777777" w:rsidR="00156B0E" w:rsidRDefault="00156B0E" w:rsidP="00753667">
            <w:pPr>
              <w:tabs>
                <w:tab w:val="left" w:pos="5400"/>
              </w:tabs>
              <w:spacing w:line="240" w:lineRule="auto"/>
            </w:pPr>
            <w:r>
              <w:t>0</w:t>
            </w:r>
          </w:p>
        </w:tc>
        <w:tc>
          <w:tcPr>
            <w:tcW w:w="764" w:type="dxa"/>
          </w:tcPr>
          <w:p w14:paraId="64413C6A" w14:textId="77777777" w:rsidR="00156B0E" w:rsidRDefault="00156B0E" w:rsidP="00753667">
            <w:pPr>
              <w:tabs>
                <w:tab w:val="left" w:pos="5400"/>
              </w:tabs>
              <w:spacing w:line="240" w:lineRule="auto"/>
            </w:pPr>
            <w:r>
              <w:t>4</w:t>
            </w:r>
          </w:p>
        </w:tc>
        <w:tc>
          <w:tcPr>
            <w:tcW w:w="777" w:type="dxa"/>
          </w:tcPr>
          <w:p w14:paraId="35B79ED4" w14:textId="77777777" w:rsidR="00156B0E" w:rsidRDefault="00156B0E" w:rsidP="00753667">
            <w:pPr>
              <w:tabs>
                <w:tab w:val="left" w:pos="5400"/>
              </w:tabs>
              <w:spacing w:line="240" w:lineRule="auto"/>
            </w:pPr>
            <w:r>
              <w:t>2</w:t>
            </w:r>
          </w:p>
        </w:tc>
        <w:tc>
          <w:tcPr>
            <w:tcW w:w="777" w:type="dxa"/>
          </w:tcPr>
          <w:p w14:paraId="6054E934" w14:textId="77777777" w:rsidR="00156B0E" w:rsidRDefault="00156B0E" w:rsidP="00753667">
            <w:pPr>
              <w:tabs>
                <w:tab w:val="left" w:pos="5400"/>
              </w:tabs>
              <w:spacing w:line="240" w:lineRule="auto"/>
            </w:pPr>
            <w:r>
              <w:t>2</w:t>
            </w:r>
          </w:p>
        </w:tc>
      </w:tr>
      <w:tr w:rsidR="00156B0E" w14:paraId="22A75063" w14:textId="77777777" w:rsidTr="00753667">
        <w:tc>
          <w:tcPr>
            <w:tcW w:w="4800" w:type="dxa"/>
          </w:tcPr>
          <w:p w14:paraId="30116A2B" w14:textId="77777777" w:rsidR="00156B0E" w:rsidRDefault="00156B0E" w:rsidP="00753667">
            <w:pPr>
              <w:tabs>
                <w:tab w:val="left" w:pos="5400"/>
              </w:tabs>
              <w:spacing w:line="240" w:lineRule="auto"/>
            </w:pPr>
            <w:r>
              <w:t>Protestant</w:t>
            </w:r>
          </w:p>
        </w:tc>
        <w:tc>
          <w:tcPr>
            <w:tcW w:w="750" w:type="dxa"/>
          </w:tcPr>
          <w:p w14:paraId="2722D10F" w14:textId="77777777" w:rsidR="00156B0E" w:rsidRDefault="00156B0E" w:rsidP="00753667">
            <w:pPr>
              <w:tabs>
                <w:tab w:val="left" w:pos="5400"/>
              </w:tabs>
              <w:spacing w:line="240" w:lineRule="auto"/>
            </w:pPr>
            <w:r>
              <w:t>9</w:t>
            </w:r>
          </w:p>
        </w:tc>
        <w:tc>
          <w:tcPr>
            <w:tcW w:w="803" w:type="dxa"/>
          </w:tcPr>
          <w:p w14:paraId="7DBAF354" w14:textId="77777777" w:rsidR="00156B0E" w:rsidRDefault="00156B0E" w:rsidP="00753667">
            <w:pPr>
              <w:tabs>
                <w:tab w:val="left" w:pos="5400"/>
              </w:tabs>
              <w:spacing w:line="240" w:lineRule="auto"/>
            </w:pPr>
            <w:r>
              <w:t>6</w:t>
            </w:r>
          </w:p>
        </w:tc>
        <w:tc>
          <w:tcPr>
            <w:tcW w:w="790" w:type="dxa"/>
          </w:tcPr>
          <w:p w14:paraId="0815D747" w14:textId="77777777" w:rsidR="00156B0E" w:rsidRDefault="00156B0E" w:rsidP="00753667">
            <w:pPr>
              <w:tabs>
                <w:tab w:val="left" w:pos="5400"/>
              </w:tabs>
              <w:spacing w:line="240" w:lineRule="auto"/>
            </w:pPr>
            <w:r>
              <w:t>8</w:t>
            </w:r>
          </w:p>
        </w:tc>
        <w:tc>
          <w:tcPr>
            <w:tcW w:w="764" w:type="dxa"/>
          </w:tcPr>
          <w:p w14:paraId="48F078B6" w14:textId="77777777" w:rsidR="00156B0E" w:rsidRDefault="00156B0E" w:rsidP="00753667">
            <w:pPr>
              <w:tabs>
                <w:tab w:val="left" w:pos="5400"/>
              </w:tabs>
              <w:spacing w:line="240" w:lineRule="auto"/>
            </w:pPr>
            <w:r>
              <w:t>5</w:t>
            </w:r>
          </w:p>
        </w:tc>
        <w:tc>
          <w:tcPr>
            <w:tcW w:w="777" w:type="dxa"/>
          </w:tcPr>
          <w:p w14:paraId="4C53C79E" w14:textId="77777777" w:rsidR="00156B0E" w:rsidRDefault="00156B0E" w:rsidP="00753667">
            <w:pPr>
              <w:tabs>
                <w:tab w:val="left" w:pos="5400"/>
              </w:tabs>
              <w:spacing w:line="240" w:lineRule="auto"/>
            </w:pPr>
            <w:r>
              <w:t>9</w:t>
            </w:r>
          </w:p>
        </w:tc>
        <w:tc>
          <w:tcPr>
            <w:tcW w:w="777" w:type="dxa"/>
          </w:tcPr>
          <w:p w14:paraId="451DC8A6" w14:textId="77777777" w:rsidR="00156B0E" w:rsidRDefault="00156B0E" w:rsidP="00753667">
            <w:pPr>
              <w:tabs>
                <w:tab w:val="left" w:pos="5400"/>
              </w:tabs>
              <w:spacing w:line="240" w:lineRule="auto"/>
            </w:pPr>
            <w:r>
              <w:t>7</w:t>
            </w:r>
          </w:p>
        </w:tc>
      </w:tr>
      <w:tr w:rsidR="00156B0E" w14:paraId="632B82A1" w14:textId="77777777" w:rsidTr="00753667">
        <w:tc>
          <w:tcPr>
            <w:tcW w:w="4800" w:type="dxa"/>
          </w:tcPr>
          <w:p w14:paraId="07C3B5C4" w14:textId="77777777" w:rsidR="00156B0E" w:rsidRDefault="00156B0E" w:rsidP="00753667">
            <w:pPr>
              <w:tabs>
                <w:tab w:val="left" w:pos="5400"/>
              </w:tabs>
              <w:spacing w:line="240" w:lineRule="auto"/>
            </w:pPr>
            <w:r>
              <w:t>Sikh</w:t>
            </w:r>
          </w:p>
        </w:tc>
        <w:tc>
          <w:tcPr>
            <w:tcW w:w="750" w:type="dxa"/>
          </w:tcPr>
          <w:p w14:paraId="7A20E4D6" w14:textId="77777777" w:rsidR="00156B0E" w:rsidRDefault="00156B0E" w:rsidP="00753667">
            <w:pPr>
              <w:tabs>
                <w:tab w:val="left" w:pos="5400"/>
              </w:tabs>
              <w:spacing w:line="240" w:lineRule="auto"/>
            </w:pPr>
            <w:r>
              <w:t>1</w:t>
            </w:r>
          </w:p>
        </w:tc>
        <w:tc>
          <w:tcPr>
            <w:tcW w:w="803" w:type="dxa"/>
          </w:tcPr>
          <w:p w14:paraId="5AF7CE44" w14:textId="77777777" w:rsidR="00156B0E" w:rsidRDefault="00156B0E" w:rsidP="00753667">
            <w:pPr>
              <w:tabs>
                <w:tab w:val="left" w:pos="5400"/>
              </w:tabs>
              <w:spacing w:line="240" w:lineRule="auto"/>
            </w:pPr>
            <w:r>
              <w:t>0</w:t>
            </w:r>
          </w:p>
        </w:tc>
        <w:tc>
          <w:tcPr>
            <w:tcW w:w="790" w:type="dxa"/>
          </w:tcPr>
          <w:p w14:paraId="6FB0EF86" w14:textId="77777777" w:rsidR="00156B0E" w:rsidRDefault="00156B0E" w:rsidP="00753667">
            <w:pPr>
              <w:tabs>
                <w:tab w:val="left" w:pos="5400"/>
              </w:tabs>
              <w:spacing w:line="240" w:lineRule="auto"/>
            </w:pPr>
            <w:r>
              <w:t>0</w:t>
            </w:r>
          </w:p>
        </w:tc>
        <w:tc>
          <w:tcPr>
            <w:tcW w:w="764" w:type="dxa"/>
          </w:tcPr>
          <w:p w14:paraId="71E1EC4D" w14:textId="77777777" w:rsidR="00156B0E" w:rsidRDefault="00156B0E" w:rsidP="00753667">
            <w:pPr>
              <w:tabs>
                <w:tab w:val="left" w:pos="5400"/>
              </w:tabs>
              <w:spacing w:line="240" w:lineRule="auto"/>
            </w:pPr>
            <w:r>
              <w:t>2</w:t>
            </w:r>
          </w:p>
        </w:tc>
        <w:tc>
          <w:tcPr>
            <w:tcW w:w="777" w:type="dxa"/>
          </w:tcPr>
          <w:p w14:paraId="0333334C" w14:textId="77777777" w:rsidR="00156B0E" w:rsidRDefault="00156B0E" w:rsidP="00753667">
            <w:pPr>
              <w:tabs>
                <w:tab w:val="left" w:pos="5400"/>
              </w:tabs>
              <w:spacing w:line="240" w:lineRule="auto"/>
            </w:pPr>
            <w:r>
              <w:t>1</w:t>
            </w:r>
          </w:p>
        </w:tc>
        <w:tc>
          <w:tcPr>
            <w:tcW w:w="777" w:type="dxa"/>
          </w:tcPr>
          <w:p w14:paraId="5E439EAF" w14:textId="77777777" w:rsidR="00156B0E" w:rsidRDefault="00156B0E" w:rsidP="00753667">
            <w:pPr>
              <w:tabs>
                <w:tab w:val="left" w:pos="5400"/>
              </w:tabs>
              <w:spacing w:line="240" w:lineRule="auto"/>
            </w:pPr>
            <w:r>
              <w:t>1</w:t>
            </w:r>
          </w:p>
        </w:tc>
      </w:tr>
    </w:tbl>
    <w:p w14:paraId="1F953C2D" w14:textId="77777777" w:rsidR="00156B0E" w:rsidRPr="002729B9" w:rsidRDefault="00156B0E" w:rsidP="00156B0E">
      <w:pPr>
        <w:tabs>
          <w:tab w:val="left" w:pos="5400"/>
        </w:tabs>
        <w:rPr>
          <w:rFonts w:eastAsiaTheme="majorEastAsia" w:cstheme="majorBidi"/>
          <w:bCs/>
          <w:i/>
          <w:iCs/>
          <w:color w:val="000000" w:themeColor="text1"/>
          <w:szCs w:val="26"/>
        </w:rPr>
      </w:pPr>
      <w:r w:rsidRPr="002729B9">
        <w:rPr>
          <w:rFonts w:eastAsiaTheme="majorEastAsia" w:cstheme="majorBidi"/>
          <w:bCs/>
          <w:i/>
          <w:iCs/>
          <w:color w:val="000000" w:themeColor="text1"/>
          <w:szCs w:val="26"/>
        </w:rPr>
        <w:t>All statistics are provisional and should be treated as management information. All data have been extracted from Police Scotland internal systems and are correct as at 26th October 2024.</w:t>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p>
    <w:p w14:paraId="3B324D8F" w14:textId="77777777" w:rsidR="00156B0E" w:rsidRDefault="00156B0E" w:rsidP="00156B0E">
      <w:pPr>
        <w:tabs>
          <w:tab w:val="left" w:pos="5400"/>
        </w:tabs>
        <w:rPr>
          <w:rFonts w:eastAsiaTheme="majorEastAsia" w:cstheme="majorBidi"/>
          <w:bCs/>
          <w:i/>
          <w:iCs/>
          <w:color w:val="000000" w:themeColor="text1"/>
          <w:szCs w:val="26"/>
        </w:rPr>
      </w:pPr>
      <w:r w:rsidRPr="002729B9">
        <w:rPr>
          <w:rFonts w:eastAsiaTheme="majorEastAsia" w:cstheme="majorBidi"/>
          <w:bCs/>
          <w:i/>
          <w:iCs/>
          <w:color w:val="000000" w:themeColor="text1"/>
          <w:szCs w:val="26"/>
        </w:rPr>
        <w:t>The data was extracted using the incident's raised date and extracted from iVPD by selecting religious hate concern incident nominals.  Please note, more than one religious hate reason can be attributed to the religious hate concern incident nominal.</w:t>
      </w:r>
      <w:r w:rsidRPr="002729B9">
        <w:rPr>
          <w:rFonts w:eastAsiaTheme="majorEastAsia" w:cstheme="majorBidi"/>
          <w:bCs/>
          <w:i/>
          <w:iCs/>
          <w:color w:val="000000" w:themeColor="text1"/>
          <w:szCs w:val="26"/>
        </w:rPr>
        <w:tab/>
      </w:r>
    </w:p>
    <w:p w14:paraId="13D63E2B" w14:textId="77777777" w:rsidR="00156B0E" w:rsidRPr="002729B9" w:rsidRDefault="00156B0E" w:rsidP="00156B0E">
      <w:pPr>
        <w:tabs>
          <w:tab w:val="left" w:pos="5400"/>
        </w:tabs>
        <w:rPr>
          <w:rFonts w:eastAsiaTheme="majorEastAsia" w:cstheme="majorBidi"/>
          <w:bCs/>
          <w:i/>
          <w:iCs/>
          <w:color w:val="000000" w:themeColor="text1"/>
          <w:szCs w:val="26"/>
        </w:rPr>
      </w:pPr>
      <w:r w:rsidRPr="002729B9">
        <w:rPr>
          <w:rFonts w:eastAsiaTheme="majorEastAsia" w:cstheme="majorBidi"/>
          <w:bCs/>
          <w:i/>
          <w:iCs/>
          <w:color w:val="000000" w:themeColor="text1"/>
          <w:szCs w:val="26"/>
        </w:rPr>
        <w:t>As there can be multiple hate reasons attributed to a hate concern incident nominal, the total number of hate reasons will not reflect the number of unique hate concern incident nominals.</w:t>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p>
    <w:p w14:paraId="1D1BBB95" w14:textId="77777777" w:rsidR="00156B0E" w:rsidRDefault="00156B0E" w:rsidP="00156B0E">
      <w:pPr>
        <w:tabs>
          <w:tab w:val="left" w:pos="5400"/>
        </w:tabs>
        <w:rPr>
          <w:rFonts w:eastAsiaTheme="majorEastAsia" w:cstheme="majorBidi"/>
          <w:bCs/>
          <w:i/>
          <w:iCs/>
          <w:color w:val="000000" w:themeColor="text1"/>
          <w:szCs w:val="26"/>
        </w:rPr>
      </w:pPr>
      <w:r w:rsidRPr="002729B9">
        <w:rPr>
          <w:rFonts w:eastAsiaTheme="majorEastAsia" w:cstheme="majorBidi"/>
          <w:bCs/>
          <w:i/>
          <w:iCs/>
          <w:color w:val="000000" w:themeColor="text1"/>
          <w:szCs w:val="26"/>
        </w:rPr>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p>
    <w:p w14:paraId="4BF8134D" w14:textId="77777777" w:rsidR="00156B0E" w:rsidRDefault="00156B0E" w:rsidP="00156B0E">
      <w:pPr>
        <w:tabs>
          <w:tab w:val="left" w:pos="5400"/>
        </w:tabs>
        <w:rPr>
          <w:rFonts w:eastAsiaTheme="majorEastAsia" w:cstheme="majorBidi"/>
          <w:bCs/>
          <w:i/>
          <w:iCs/>
          <w:color w:val="000000" w:themeColor="text1"/>
          <w:szCs w:val="26"/>
        </w:rPr>
      </w:pPr>
      <w:r w:rsidRPr="002729B9">
        <w:rPr>
          <w:rFonts w:eastAsiaTheme="majorEastAsia" w:cstheme="majorBidi"/>
          <w:bCs/>
          <w:i/>
          <w:iCs/>
          <w:color w:val="000000" w:themeColor="text1"/>
          <w:szCs w:val="26"/>
        </w:rPr>
        <w:t xml:space="preserve">Please note that these data are collated from the Police Scotland iVPD system, which has an automated weeding and retention policy built on to it. A copy of the retention policy is available on the Police Scotland internet site </w:t>
      </w:r>
      <w:hyperlink r:id="rId13" w:history="1">
        <w:r w:rsidRPr="009425D0">
          <w:rPr>
            <w:rStyle w:val="Hyperlink"/>
            <w:rFonts w:eastAsiaTheme="majorEastAsia" w:cstheme="majorBidi"/>
            <w:bCs/>
            <w:i/>
            <w:iCs/>
            <w:szCs w:val="26"/>
          </w:rPr>
          <w:t>https://www.scotland.police.uk/spa-media/nhobty5i/record-retention-sop.docx</w:t>
        </w:r>
      </w:hyperlink>
      <w:r>
        <w:rPr>
          <w:rFonts w:eastAsiaTheme="majorEastAsia" w:cstheme="majorBidi"/>
          <w:bCs/>
          <w:i/>
          <w:iCs/>
          <w:color w:val="000000" w:themeColor="text1"/>
          <w:szCs w:val="26"/>
        </w:rPr>
        <w:t xml:space="preserve"> </w:t>
      </w:r>
      <w:r w:rsidRPr="002729B9">
        <w:rPr>
          <w:rFonts w:eastAsiaTheme="majorEastAsia" w:cstheme="majorBidi"/>
          <w:bCs/>
          <w:i/>
          <w:iCs/>
          <w:color w:val="000000" w:themeColor="text1"/>
          <w:szCs w:val="26"/>
        </w:rPr>
        <w:tab/>
      </w:r>
    </w:p>
    <w:p w14:paraId="3A1A44C9" w14:textId="46EBAF62" w:rsidR="002634DB" w:rsidRPr="00156B0E" w:rsidRDefault="009D637E" w:rsidP="002729B9">
      <w:pPr>
        <w:tabs>
          <w:tab w:val="left" w:pos="5400"/>
        </w:tabs>
        <w:rPr>
          <w:rFonts w:eastAsiaTheme="majorEastAsia" w:cstheme="majorBidi"/>
          <w:bCs/>
          <w:color w:val="000000" w:themeColor="text1"/>
          <w:szCs w:val="26"/>
        </w:rPr>
      </w:pPr>
      <w:r w:rsidRPr="009D637E">
        <w:rPr>
          <w:rFonts w:eastAsiaTheme="majorEastAsia" w:cstheme="majorBidi"/>
          <w:b/>
          <w:color w:val="000000" w:themeColor="text1"/>
          <w:szCs w:val="26"/>
        </w:rPr>
        <w:lastRenderedPageBreak/>
        <w:t>Please then break this down by date, Geographic location and crime type.</w:t>
      </w:r>
      <w:r w:rsidR="002729B9" w:rsidRPr="002729B9">
        <w:rPr>
          <w:rFonts w:eastAsiaTheme="majorEastAsia" w:cstheme="majorBidi"/>
          <w:bCs/>
          <w:i/>
          <w:iCs/>
          <w:color w:val="000000" w:themeColor="text1"/>
          <w:szCs w:val="26"/>
        </w:rPr>
        <w:tab/>
      </w:r>
    </w:p>
    <w:p w14:paraId="005D317C" w14:textId="5B534A2C" w:rsidR="00ED1DB5" w:rsidRPr="002634DB" w:rsidRDefault="00ED1DB5" w:rsidP="002634DB">
      <w:pPr>
        <w:rPr>
          <w:color w:val="000000" w:themeColor="text1"/>
        </w:rPr>
      </w:pPr>
      <w:r>
        <w:rPr>
          <w:color w:val="000000" w:themeColor="text1"/>
        </w:rPr>
        <w:t xml:space="preserve">As the data has been extracted from iVPD, where the crime type is recorded as hate crime with an aggravator, a manual review of each report would be required to provide the specific crime type. </w:t>
      </w:r>
      <w:r w:rsidRPr="002634DB">
        <w:rPr>
          <w:color w:val="000000" w:themeColor="text1"/>
        </w:rPr>
        <w:t>I am therefore refusing to provide the information sought in terms of section 12(1) of the Act - Excessive Cost of Compliance.</w:t>
      </w:r>
    </w:p>
    <w:p w14:paraId="16BB64A3" w14:textId="0356712F" w:rsidR="002634DB" w:rsidRDefault="002634DB" w:rsidP="002634DB">
      <w:pPr>
        <w:rPr>
          <w:color w:val="000000" w:themeColor="text1"/>
        </w:rPr>
      </w:pPr>
      <w:r w:rsidRPr="002634DB">
        <w:rPr>
          <w:color w:val="000000" w:themeColor="text1"/>
        </w:rPr>
        <w:t>I can, however, provide the</w:t>
      </w:r>
      <w:r w:rsidR="00156B0E">
        <w:rPr>
          <w:color w:val="000000" w:themeColor="text1"/>
        </w:rPr>
        <w:t xml:space="preserve"> geographic location, as per the</w:t>
      </w:r>
      <w:r w:rsidRPr="002634DB">
        <w:rPr>
          <w:color w:val="000000" w:themeColor="text1"/>
        </w:rPr>
        <w:t xml:space="preserve"> Police Division recorded against the </w:t>
      </w:r>
      <w:r>
        <w:rPr>
          <w:color w:val="000000" w:themeColor="text1"/>
        </w:rPr>
        <w:t>incident.</w:t>
      </w:r>
      <w:r w:rsidRPr="002634DB">
        <w:rPr>
          <w:color w:val="000000" w:themeColor="text1"/>
        </w:rPr>
        <w:t xml:space="preserve"> </w:t>
      </w:r>
    </w:p>
    <w:p w14:paraId="4C2842D8" w14:textId="03F1C3D3" w:rsidR="00ED1DB5" w:rsidRPr="00ED1DB5" w:rsidRDefault="00ED1DB5" w:rsidP="002634DB">
      <w:pPr>
        <w:rPr>
          <w:i/>
          <w:iCs/>
          <w:color w:val="000000" w:themeColor="text1"/>
        </w:rPr>
      </w:pPr>
      <w:r w:rsidRPr="00ED1DB5">
        <w:rPr>
          <w:i/>
          <w:iCs/>
          <w:color w:val="000000" w:themeColor="text1"/>
        </w:rPr>
        <w:t>Table 3: Religious hate concern incidents by division</w:t>
      </w:r>
    </w:p>
    <w:tbl>
      <w:tblPr>
        <w:tblStyle w:val="TableGrid"/>
        <w:tblW w:w="8209" w:type="dxa"/>
        <w:tblInd w:w="5" w:type="dxa"/>
        <w:tblLook w:val="04A0" w:firstRow="1" w:lastRow="0" w:firstColumn="1" w:lastColumn="0" w:noHBand="0" w:noVBand="1"/>
      </w:tblPr>
      <w:tblGrid>
        <w:gridCol w:w="4032"/>
        <w:gridCol w:w="4177"/>
      </w:tblGrid>
      <w:tr w:rsidR="002634DB" w:rsidRPr="00557306" w14:paraId="3CF150A6" w14:textId="77777777" w:rsidTr="00156B0E">
        <w:trPr>
          <w:tblHeader/>
        </w:trPr>
        <w:tc>
          <w:tcPr>
            <w:tcW w:w="4032" w:type="dxa"/>
            <w:shd w:val="clear" w:color="auto" w:fill="D9D9D9" w:themeFill="background1" w:themeFillShade="D9"/>
          </w:tcPr>
          <w:p w14:paraId="2BCB7570" w14:textId="3642F021" w:rsidR="002634DB" w:rsidRPr="00557306" w:rsidRDefault="002634DB" w:rsidP="001E25D5">
            <w:pPr>
              <w:spacing w:line="240" w:lineRule="auto"/>
              <w:rPr>
                <w:b/>
              </w:rPr>
            </w:pPr>
            <w:r>
              <w:rPr>
                <w:b/>
              </w:rPr>
              <w:t>Division</w:t>
            </w:r>
          </w:p>
        </w:tc>
        <w:tc>
          <w:tcPr>
            <w:tcW w:w="4177" w:type="dxa"/>
            <w:shd w:val="clear" w:color="auto" w:fill="D9D9D9" w:themeFill="background1" w:themeFillShade="D9"/>
          </w:tcPr>
          <w:p w14:paraId="37651C09" w14:textId="2C0A4E4D" w:rsidR="002634DB" w:rsidRPr="002634DB" w:rsidRDefault="002634DB" w:rsidP="001E25D5">
            <w:pPr>
              <w:spacing w:line="240" w:lineRule="auto"/>
              <w:rPr>
                <w:b/>
              </w:rPr>
            </w:pPr>
            <w:r w:rsidRPr="002634DB">
              <w:rPr>
                <w:rFonts w:eastAsiaTheme="majorEastAsia" w:cstheme="majorBidi"/>
                <w:b/>
                <w:color w:val="000000" w:themeColor="text1"/>
                <w:szCs w:val="26"/>
              </w:rPr>
              <w:t>Religious Hate Concern Incidents</w:t>
            </w:r>
          </w:p>
        </w:tc>
      </w:tr>
      <w:tr w:rsidR="002634DB" w14:paraId="50BD8003" w14:textId="77777777" w:rsidTr="00156B0E">
        <w:tc>
          <w:tcPr>
            <w:tcW w:w="4032" w:type="dxa"/>
          </w:tcPr>
          <w:p w14:paraId="10AFBFCF" w14:textId="707FD0A1" w:rsidR="002634DB" w:rsidRDefault="00156B0E" w:rsidP="001E25D5">
            <w:pPr>
              <w:tabs>
                <w:tab w:val="left" w:pos="5400"/>
              </w:tabs>
              <w:spacing w:line="240" w:lineRule="auto"/>
            </w:pPr>
            <w:r>
              <w:t>North East</w:t>
            </w:r>
          </w:p>
        </w:tc>
        <w:tc>
          <w:tcPr>
            <w:tcW w:w="4177" w:type="dxa"/>
          </w:tcPr>
          <w:p w14:paraId="415E10F6" w14:textId="0C44DF74" w:rsidR="002634DB" w:rsidRDefault="002634DB" w:rsidP="001E25D5">
            <w:pPr>
              <w:tabs>
                <w:tab w:val="left" w:pos="5400"/>
              </w:tabs>
              <w:spacing w:line="240" w:lineRule="auto"/>
            </w:pPr>
            <w:r>
              <w:t>16</w:t>
            </w:r>
          </w:p>
        </w:tc>
      </w:tr>
      <w:tr w:rsidR="002634DB" w14:paraId="1742E145" w14:textId="77777777" w:rsidTr="00156B0E">
        <w:tc>
          <w:tcPr>
            <w:tcW w:w="4032" w:type="dxa"/>
          </w:tcPr>
          <w:p w14:paraId="557C8EFF" w14:textId="66A102CC" w:rsidR="002634DB" w:rsidRDefault="00156B0E" w:rsidP="001E25D5">
            <w:pPr>
              <w:tabs>
                <w:tab w:val="left" w:pos="5400"/>
              </w:tabs>
              <w:spacing w:line="240" w:lineRule="auto"/>
            </w:pPr>
            <w:r>
              <w:t>Forth Valley</w:t>
            </w:r>
          </w:p>
        </w:tc>
        <w:tc>
          <w:tcPr>
            <w:tcW w:w="4177" w:type="dxa"/>
          </w:tcPr>
          <w:p w14:paraId="2686AA60" w14:textId="0AF75D00" w:rsidR="002634DB" w:rsidRDefault="002634DB" w:rsidP="001E25D5">
            <w:pPr>
              <w:tabs>
                <w:tab w:val="left" w:pos="5400"/>
              </w:tabs>
              <w:spacing w:line="240" w:lineRule="auto"/>
            </w:pPr>
            <w:r>
              <w:t>18</w:t>
            </w:r>
          </w:p>
        </w:tc>
      </w:tr>
      <w:tr w:rsidR="002634DB" w14:paraId="16290D7D" w14:textId="77777777" w:rsidTr="00156B0E">
        <w:tc>
          <w:tcPr>
            <w:tcW w:w="4032" w:type="dxa"/>
          </w:tcPr>
          <w:p w14:paraId="7BC8D6F9" w14:textId="6CE01D8C" w:rsidR="002634DB" w:rsidRDefault="00156B0E" w:rsidP="001E25D5">
            <w:pPr>
              <w:tabs>
                <w:tab w:val="left" w:pos="5400"/>
              </w:tabs>
              <w:spacing w:line="240" w:lineRule="auto"/>
            </w:pPr>
            <w:r>
              <w:t>Tayside</w:t>
            </w:r>
          </w:p>
        </w:tc>
        <w:tc>
          <w:tcPr>
            <w:tcW w:w="4177" w:type="dxa"/>
          </w:tcPr>
          <w:p w14:paraId="62EC1686" w14:textId="022BE929" w:rsidR="002634DB" w:rsidRDefault="002634DB" w:rsidP="001E25D5">
            <w:pPr>
              <w:tabs>
                <w:tab w:val="left" w:pos="5400"/>
              </w:tabs>
              <w:spacing w:line="240" w:lineRule="auto"/>
            </w:pPr>
            <w:r>
              <w:t>3</w:t>
            </w:r>
          </w:p>
        </w:tc>
      </w:tr>
      <w:tr w:rsidR="002634DB" w14:paraId="661996F7" w14:textId="77777777" w:rsidTr="00156B0E">
        <w:tc>
          <w:tcPr>
            <w:tcW w:w="4032" w:type="dxa"/>
          </w:tcPr>
          <w:p w14:paraId="168A9B6B" w14:textId="2BA857D3" w:rsidR="002634DB" w:rsidRDefault="002634DB" w:rsidP="001E25D5">
            <w:pPr>
              <w:tabs>
                <w:tab w:val="left" w:pos="5400"/>
              </w:tabs>
              <w:spacing w:line="240" w:lineRule="auto"/>
            </w:pPr>
            <w:r>
              <w:t>E</w:t>
            </w:r>
            <w:r w:rsidR="00156B0E">
              <w:t>dinburgh</w:t>
            </w:r>
          </w:p>
        </w:tc>
        <w:tc>
          <w:tcPr>
            <w:tcW w:w="4177" w:type="dxa"/>
          </w:tcPr>
          <w:p w14:paraId="5E7914A3" w14:textId="227989AF" w:rsidR="002634DB" w:rsidRDefault="002634DB" w:rsidP="001E25D5">
            <w:pPr>
              <w:tabs>
                <w:tab w:val="left" w:pos="5400"/>
              </w:tabs>
              <w:spacing w:line="240" w:lineRule="auto"/>
            </w:pPr>
            <w:r>
              <w:t>109</w:t>
            </w:r>
          </w:p>
        </w:tc>
      </w:tr>
      <w:tr w:rsidR="002634DB" w14:paraId="1A3FB31E" w14:textId="77777777" w:rsidTr="00156B0E">
        <w:tc>
          <w:tcPr>
            <w:tcW w:w="4032" w:type="dxa"/>
          </w:tcPr>
          <w:p w14:paraId="7EC17531" w14:textId="4C3493A1" w:rsidR="002634DB" w:rsidRDefault="002634DB" w:rsidP="001E25D5">
            <w:pPr>
              <w:tabs>
                <w:tab w:val="left" w:pos="5400"/>
              </w:tabs>
              <w:spacing w:line="240" w:lineRule="auto"/>
            </w:pPr>
            <w:r>
              <w:t>G</w:t>
            </w:r>
            <w:r w:rsidR="00156B0E">
              <w:t>reater Glasgow</w:t>
            </w:r>
          </w:p>
        </w:tc>
        <w:tc>
          <w:tcPr>
            <w:tcW w:w="4177" w:type="dxa"/>
          </w:tcPr>
          <w:p w14:paraId="5EB9D57B" w14:textId="33112066" w:rsidR="002634DB" w:rsidRDefault="002634DB" w:rsidP="001E25D5">
            <w:pPr>
              <w:tabs>
                <w:tab w:val="left" w:pos="5400"/>
              </w:tabs>
              <w:spacing w:line="240" w:lineRule="auto"/>
            </w:pPr>
            <w:r>
              <w:t>160</w:t>
            </w:r>
          </w:p>
        </w:tc>
      </w:tr>
      <w:tr w:rsidR="002634DB" w14:paraId="3D76552C" w14:textId="77777777" w:rsidTr="00156B0E">
        <w:tc>
          <w:tcPr>
            <w:tcW w:w="4032" w:type="dxa"/>
          </w:tcPr>
          <w:p w14:paraId="18C73ACD" w14:textId="4E82B900" w:rsidR="002634DB" w:rsidRDefault="00156B0E" w:rsidP="001E25D5">
            <w:pPr>
              <w:tabs>
                <w:tab w:val="left" w:pos="5400"/>
              </w:tabs>
              <w:spacing w:line="240" w:lineRule="auto"/>
            </w:pPr>
            <w:r>
              <w:t>The Lothians and Scottish Borders</w:t>
            </w:r>
          </w:p>
        </w:tc>
        <w:tc>
          <w:tcPr>
            <w:tcW w:w="4177" w:type="dxa"/>
          </w:tcPr>
          <w:p w14:paraId="2E278717" w14:textId="759FC694" w:rsidR="002634DB" w:rsidRDefault="002634DB" w:rsidP="001E25D5">
            <w:pPr>
              <w:tabs>
                <w:tab w:val="left" w:pos="5400"/>
              </w:tabs>
              <w:spacing w:line="240" w:lineRule="auto"/>
            </w:pPr>
            <w:r>
              <w:t>25</w:t>
            </w:r>
          </w:p>
        </w:tc>
      </w:tr>
      <w:tr w:rsidR="002634DB" w14:paraId="5AC58A40" w14:textId="77777777" w:rsidTr="00156B0E">
        <w:tc>
          <w:tcPr>
            <w:tcW w:w="4032" w:type="dxa"/>
          </w:tcPr>
          <w:p w14:paraId="7FAE4E53" w14:textId="411FC8C0" w:rsidR="002634DB" w:rsidRDefault="00156B0E" w:rsidP="001E25D5">
            <w:pPr>
              <w:tabs>
                <w:tab w:val="left" w:pos="5400"/>
              </w:tabs>
              <w:spacing w:line="240" w:lineRule="auto"/>
            </w:pPr>
            <w:r>
              <w:t>Renfrewshire and Inverclyde</w:t>
            </w:r>
          </w:p>
        </w:tc>
        <w:tc>
          <w:tcPr>
            <w:tcW w:w="4177" w:type="dxa"/>
          </w:tcPr>
          <w:p w14:paraId="5CFFC215" w14:textId="575EEBD0" w:rsidR="002634DB" w:rsidRDefault="002634DB" w:rsidP="001E25D5">
            <w:pPr>
              <w:tabs>
                <w:tab w:val="left" w:pos="5400"/>
              </w:tabs>
              <w:spacing w:line="240" w:lineRule="auto"/>
            </w:pPr>
            <w:r>
              <w:t>14</w:t>
            </w:r>
          </w:p>
        </w:tc>
      </w:tr>
      <w:tr w:rsidR="002634DB" w14:paraId="4C6C1424" w14:textId="77777777" w:rsidTr="00156B0E">
        <w:tc>
          <w:tcPr>
            <w:tcW w:w="4032" w:type="dxa"/>
          </w:tcPr>
          <w:p w14:paraId="039C885E" w14:textId="5595D1D1" w:rsidR="002634DB" w:rsidRDefault="00156B0E" w:rsidP="001E25D5">
            <w:pPr>
              <w:tabs>
                <w:tab w:val="left" w:pos="5400"/>
              </w:tabs>
              <w:spacing w:line="240" w:lineRule="auto"/>
            </w:pPr>
            <w:r>
              <w:t>Argyll and West Dunbartonshire</w:t>
            </w:r>
          </w:p>
        </w:tc>
        <w:tc>
          <w:tcPr>
            <w:tcW w:w="4177" w:type="dxa"/>
          </w:tcPr>
          <w:p w14:paraId="27283453" w14:textId="077E36D5" w:rsidR="002634DB" w:rsidRDefault="002634DB" w:rsidP="001E25D5">
            <w:pPr>
              <w:tabs>
                <w:tab w:val="left" w:pos="5400"/>
              </w:tabs>
              <w:spacing w:line="240" w:lineRule="auto"/>
            </w:pPr>
            <w:r>
              <w:t>9</w:t>
            </w:r>
          </w:p>
        </w:tc>
      </w:tr>
      <w:tr w:rsidR="002634DB" w14:paraId="36BA7B9C" w14:textId="77777777" w:rsidTr="00156B0E">
        <w:tc>
          <w:tcPr>
            <w:tcW w:w="4032" w:type="dxa"/>
          </w:tcPr>
          <w:p w14:paraId="694D878F" w14:textId="0EB79910" w:rsidR="002634DB" w:rsidRDefault="00156B0E" w:rsidP="001E25D5">
            <w:pPr>
              <w:tabs>
                <w:tab w:val="left" w:pos="5400"/>
              </w:tabs>
              <w:spacing w:line="240" w:lineRule="auto"/>
            </w:pPr>
            <w:r>
              <w:t>Highland and Islands</w:t>
            </w:r>
          </w:p>
        </w:tc>
        <w:tc>
          <w:tcPr>
            <w:tcW w:w="4177" w:type="dxa"/>
          </w:tcPr>
          <w:p w14:paraId="5E567B06" w14:textId="704F0A64" w:rsidR="002634DB" w:rsidRDefault="002634DB" w:rsidP="001E25D5">
            <w:pPr>
              <w:tabs>
                <w:tab w:val="left" w:pos="5400"/>
              </w:tabs>
              <w:spacing w:line="240" w:lineRule="auto"/>
            </w:pPr>
            <w:r>
              <w:t>10</w:t>
            </w:r>
          </w:p>
        </w:tc>
      </w:tr>
      <w:tr w:rsidR="002634DB" w14:paraId="75C0F0C2" w14:textId="77777777" w:rsidTr="00156B0E">
        <w:tc>
          <w:tcPr>
            <w:tcW w:w="4032" w:type="dxa"/>
          </w:tcPr>
          <w:p w14:paraId="2B24CEC3" w14:textId="157ED10F" w:rsidR="002634DB" w:rsidRDefault="00156B0E" w:rsidP="001E25D5">
            <w:pPr>
              <w:tabs>
                <w:tab w:val="left" w:pos="5400"/>
              </w:tabs>
              <w:spacing w:line="240" w:lineRule="auto"/>
            </w:pPr>
            <w:r>
              <w:t>Fife</w:t>
            </w:r>
          </w:p>
        </w:tc>
        <w:tc>
          <w:tcPr>
            <w:tcW w:w="4177" w:type="dxa"/>
          </w:tcPr>
          <w:p w14:paraId="3E1CE66E" w14:textId="155491CA" w:rsidR="002634DB" w:rsidRDefault="002634DB" w:rsidP="001E25D5">
            <w:pPr>
              <w:tabs>
                <w:tab w:val="left" w:pos="5400"/>
              </w:tabs>
              <w:spacing w:line="240" w:lineRule="auto"/>
            </w:pPr>
            <w:r>
              <w:t>15</w:t>
            </w:r>
          </w:p>
        </w:tc>
      </w:tr>
      <w:tr w:rsidR="002634DB" w14:paraId="6D75E98D" w14:textId="77777777" w:rsidTr="00156B0E">
        <w:tc>
          <w:tcPr>
            <w:tcW w:w="4032" w:type="dxa"/>
          </w:tcPr>
          <w:p w14:paraId="05E14AC6" w14:textId="50A88089" w:rsidR="002634DB" w:rsidRDefault="00156B0E" w:rsidP="001E25D5">
            <w:pPr>
              <w:tabs>
                <w:tab w:val="left" w:pos="5400"/>
              </w:tabs>
              <w:spacing w:line="240" w:lineRule="auto"/>
            </w:pPr>
            <w:r>
              <w:t>Lanarkshire</w:t>
            </w:r>
          </w:p>
        </w:tc>
        <w:tc>
          <w:tcPr>
            <w:tcW w:w="4177" w:type="dxa"/>
          </w:tcPr>
          <w:p w14:paraId="2EFE50FE" w14:textId="7A882245" w:rsidR="002634DB" w:rsidRDefault="002634DB" w:rsidP="001E25D5">
            <w:pPr>
              <w:tabs>
                <w:tab w:val="left" w:pos="5400"/>
              </w:tabs>
              <w:spacing w:line="240" w:lineRule="auto"/>
            </w:pPr>
            <w:r>
              <w:t>21</w:t>
            </w:r>
          </w:p>
        </w:tc>
      </w:tr>
      <w:tr w:rsidR="002634DB" w14:paraId="4DEA693A" w14:textId="77777777" w:rsidTr="00156B0E">
        <w:tc>
          <w:tcPr>
            <w:tcW w:w="4032" w:type="dxa"/>
          </w:tcPr>
          <w:p w14:paraId="5F8DB8C9" w14:textId="6AECB243" w:rsidR="002634DB" w:rsidRDefault="00156B0E" w:rsidP="001E25D5">
            <w:pPr>
              <w:tabs>
                <w:tab w:val="left" w:pos="5400"/>
              </w:tabs>
              <w:spacing w:line="240" w:lineRule="auto"/>
            </w:pPr>
            <w:r>
              <w:t>Ayrshire</w:t>
            </w:r>
          </w:p>
        </w:tc>
        <w:tc>
          <w:tcPr>
            <w:tcW w:w="4177" w:type="dxa"/>
          </w:tcPr>
          <w:p w14:paraId="5AF6ECE1" w14:textId="4ED26E04" w:rsidR="002634DB" w:rsidRDefault="002634DB" w:rsidP="001E25D5">
            <w:pPr>
              <w:tabs>
                <w:tab w:val="left" w:pos="5400"/>
              </w:tabs>
              <w:spacing w:line="240" w:lineRule="auto"/>
            </w:pPr>
            <w:r>
              <w:t>26</w:t>
            </w:r>
          </w:p>
        </w:tc>
      </w:tr>
      <w:tr w:rsidR="002634DB" w14:paraId="0A57FA51" w14:textId="77777777" w:rsidTr="00156B0E">
        <w:tc>
          <w:tcPr>
            <w:tcW w:w="4032" w:type="dxa"/>
          </w:tcPr>
          <w:p w14:paraId="34D3A8B8" w14:textId="26331E40" w:rsidR="002634DB" w:rsidRDefault="00156B0E" w:rsidP="001E25D5">
            <w:pPr>
              <w:tabs>
                <w:tab w:val="left" w:pos="5400"/>
              </w:tabs>
              <w:spacing w:line="240" w:lineRule="auto"/>
            </w:pPr>
            <w:r>
              <w:t>Dumfries and Galloway</w:t>
            </w:r>
          </w:p>
        </w:tc>
        <w:tc>
          <w:tcPr>
            <w:tcW w:w="4177" w:type="dxa"/>
          </w:tcPr>
          <w:p w14:paraId="36FC5BBC" w14:textId="0AC0677D" w:rsidR="002634DB" w:rsidRDefault="002634DB" w:rsidP="001E25D5">
            <w:pPr>
              <w:tabs>
                <w:tab w:val="left" w:pos="5400"/>
              </w:tabs>
              <w:spacing w:line="240" w:lineRule="auto"/>
            </w:pPr>
            <w:r>
              <w:t>7</w:t>
            </w:r>
          </w:p>
        </w:tc>
      </w:tr>
    </w:tbl>
    <w:p w14:paraId="7BCB7CFA" w14:textId="7D121771" w:rsidR="009D637E" w:rsidRPr="009D637E" w:rsidRDefault="002729B9" w:rsidP="002729B9">
      <w:pPr>
        <w:tabs>
          <w:tab w:val="left" w:pos="5400"/>
        </w:tabs>
        <w:rPr>
          <w:rFonts w:eastAsiaTheme="majorEastAsia" w:cstheme="majorBidi"/>
          <w:bCs/>
          <w:i/>
          <w:iCs/>
          <w:color w:val="000000" w:themeColor="text1"/>
          <w:szCs w:val="26"/>
        </w:rPr>
      </w:pP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r w:rsidRPr="002729B9">
        <w:rPr>
          <w:rFonts w:eastAsiaTheme="majorEastAsia" w:cstheme="majorBidi"/>
          <w:bCs/>
          <w:i/>
          <w:iCs/>
          <w:color w:val="000000" w:themeColor="text1"/>
          <w:szCs w:val="26"/>
        </w:rPr>
        <w:tab/>
      </w:r>
    </w:p>
    <w:p w14:paraId="31B1A96C" w14:textId="77777777" w:rsidR="009D637E" w:rsidRPr="009D637E" w:rsidRDefault="009D637E" w:rsidP="009D637E">
      <w:pPr>
        <w:tabs>
          <w:tab w:val="left" w:pos="5400"/>
        </w:tabs>
        <w:rPr>
          <w:rFonts w:eastAsiaTheme="majorEastAsia" w:cstheme="majorBidi"/>
          <w:b/>
          <w:color w:val="000000" w:themeColor="text1"/>
          <w:szCs w:val="26"/>
        </w:rPr>
      </w:pPr>
      <w:r w:rsidRPr="009D637E">
        <w:rPr>
          <w:rFonts w:eastAsiaTheme="majorEastAsia" w:cstheme="majorBidi"/>
          <w:b/>
          <w:color w:val="000000" w:themeColor="text1"/>
          <w:szCs w:val="26"/>
        </w:rPr>
        <w:t>Please also detail where these related to Operation Tarlac and/or policing of Palestine solidarity protests (IE the use of Hate Crime Law to police activity at protests).</w:t>
      </w:r>
    </w:p>
    <w:p w14:paraId="79A77002" w14:textId="77777777" w:rsidR="00483D7C" w:rsidRDefault="00483D7C" w:rsidP="009D2AA5">
      <w:pPr>
        <w:tabs>
          <w:tab w:val="left" w:pos="5400"/>
        </w:tabs>
      </w:pPr>
      <w:r w:rsidRPr="00483D7C">
        <w:lastRenderedPageBreak/>
        <w:t xml:space="preserve">Operation Tarlac was designed to enhance support for local policing efforts, deliver consistencies in policing response and align with existing counter-terrorism frameworks to ensure public safety and community cohesion.  </w:t>
      </w:r>
    </w:p>
    <w:p w14:paraId="34BDABB8" w14:textId="6849FE23" w:rsidR="00255F1E" w:rsidRPr="00483D7C" w:rsidRDefault="00483D7C" w:rsidP="009D2AA5">
      <w:pPr>
        <w:tabs>
          <w:tab w:val="left" w:pos="5400"/>
        </w:tabs>
      </w:pPr>
      <w:r w:rsidRPr="00483D7C">
        <w:t>As you will be aware, Freedom of Information legislation provides a right of access to recorded information only and in that regard, I can advise you that there is no set list of data types being collated and stored by Police Scotland</w:t>
      </w:r>
      <w:r>
        <w:t>.</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296C5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52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1ED86C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52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09F9E7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52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5B5FB0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529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B304EC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529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4F6C6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529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3529D"/>
    <w:rsid w:val="00141533"/>
    <w:rsid w:val="00156B0E"/>
    <w:rsid w:val="001666FB"/>
    <w:rsid w:val="00167528"/>
    <w:rsid w:val="00184727"/>
    <w:rsid w:val="00195CC4"/>
    <w:rsid w:val="001F2261"/>
    <w:rsid w:val="00207326"/>
    <w:rsid w:val="00253DF6"/>
    <w:rsid w:val="00255F1E"/>
    <w:rsid w:val="00260FBC"/>
    <w:rsid w:val="002634DB"/>
    <w:rsid w:val="002729B9"/>
    <w:rsid w:val="0036503B"/>
    <w:rsid w:val="00376A4A"/>
    <w:rsid w:val="00381234"/>
    <w:rsid w:val="003D6D03"/>
    <w:rsid w:val="003E12CA"/>
    <w:rsid w:val="004010DC"/>
    <w:rsid w:val="004341F0"/>
    <w:rsid w:val="00456324"/>
    <w:rsid w:val="00475460"/>
    <w:rsid w:val="00483D7C"/>
    <w:rsid w:val="00490317"/>
    <w:rsid w:val="00491644"/>
    <w:rsid w:val="00496A08"/>
    <w:rsid w:val="004B1D83"/>
    <w:rsid w:val="004E1605"/>
    <w:rsid w:val="004F653C"/>
    <w:rsid w:val="0050329C"/>
    <w:rsid w:val="00540A52"/>
    <w:rsid w:val="00557306"/>
    <w:rsid w:val="005F7D6A"/>
    <w:rsid w:val="006029D9"/>
    <w:rsid w:val="0060390B"/>
    <w:rsid w:val="00645CFA"/>
    <w:rsid w:val="00685219"/>
    <w:rsid w:val="006D5799"/>
    <w:rsid w:val="006D6069"/>
    <w:rsid w:val="006F6121"/>
    <w:rsid w:val="007440EA"/>
    <w:rsid w:val="00750D83"/>
    <w:rsid w:val="00785DBC"/>
    <w:rsid w:val="00793268"/>
    <w:rsid w:val="00793DD5"/>
    <w:rsid w:val="007D55F6"/>
    <w:rsid w:val="007F490F"/>
    <w:rsid w:val="0086779C"/>
    <w:rsid w:val="00874BFD"/>
    <w:rsid w:val="008964EF"/>
    <w:rsid w:val="00915E01"/>
    <w:rsid w:val="0093207F"/>
    <w:rsid w:val="009631A4"/>
    <w:rsid w:val="00977296"/>
    <w:rsid w:val="009B2208"/>
    <w:rsid w:val="009B4AA1"/>
    <w:rsid w:val="009D2AA5"/>
    <w:rsid w:val="009D637E"/>
    <w:rsid w:val="00A233CB"/>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E295E"/>
    <w:rsid w:val="00BF6B81"/>
    <w:rsid w:val="00C077A8"/>
    <w:rsid w:val="00C14FF4"/>
    <w:rsid w:val="00C1679F"/>
    <w:rsid w:val="00C606A2"/>
    <w:rsid w:val="00C60A7F"/>
    <w:rsid w:val="00C63872"/>
    <w:rsid w:val="00C84948"/>
    <w:rsid w:val="00C94ED8"/>
    <w:rsid w:val="00CE09FA"/>
    <w:rsid w:val="00CE6DAA"/>
    <w:rsid w:val="00CF1111"/>
    <w:rsid w:val="00D05706"/>
    <w:rsid w:val="00D27DC5"/>
    <w:rsid w:val="00D47E36"/>
    <w:rsid w:val="00DA06CC"/>
    <w:rsid w:val="00E03CBB"/>
    <w:rsid w:val="00E55D79"/>
    <w:rsid w:val="00ED1DB5"/>
    <w:rsid w:val="00EE2373"/>
    <w:rsid w:val="00EF0FBB"/>
    <w:rsid w:val="00EF4761"/>
    <w:rsid w:val="00F11752"/>
    <w:rsid w:val="00F27432"/>
    <w:rsid w:val="00F46127"/>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9D637E"/>
    <w:rPr>
      <w:color w:val="605E5C"/>
      <w:shd w:val="clear" w:color="auto" w:fill="E1DFDD"/>
    </w:rPr>
  </w:style>
  <w:style w:type="character" w:styleId="FollowedHyperlink">
    <w:name w:val="FollowedHyperlink"/>
    <w:basedOn w:val="DefaultParagraphFont"/>
    <w:uiPriority w:val="99"/>
    <w:semiHidden/>
    <w:unhideWhenUsed/>
    <w:rsid w:val="005F7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040">
      <w:bodyDiv w:val="1"/>
      <w:marLeft w:val="0"/>
      <w:marRight w:val="0"/>
      <w:marTop w:val="0"/>
      <w:marBottom w:val="0"/>
      <w:divBdr>
        <w:top w:val="none" w:sz="0" w:space="0" w:color="auto"/>
        <w:left w:val="none" w:sz="0" w:space="0" w:color="auto"/>
        <w:bottom w:val="none" w:sz="0" w:space="0" w:color="auto"/>
        <w:right w:val="none" w:sz="0" w:space="0" w:color="auto"/>
      </w:divBdr>
    </w:div>
    <w:div w:id="236088417">
      <w:bodyDiv w:val="1"/>
      <w:marLeft w:val="0"/>
      <w:marRight w:val="0"/>
      <w:marTop w:val="0"/>
      <w:marBottom w:val="0"/>
      <w:divBdr>
        <w:top w:val="none" w:sz="0" w:space="0" w:color="auto"/>
        <w:left w:val="none" w:sz="0" w:space="0" w:color="auto"/>
        <w:bottom w:val="none" w:sz="0" w:space="0" w:color="auto"/>
        <w:right w:val="none" w:sz="0" w:space="0" w:color="auto"/>
      </w:divBdr>
    </w:div>
    <w:div w:id="255868675">
      <w:bodyDiv w:val="1"/>
      <w:marLeft w:val="0"/>
      <w:marRight w:val="0"/>
      <w:marTop w:val="0"/>
      <w:marBottom w:val="0"/>
      <w:divBdr>
        <w:top w:val="none" w:sz="0" w:space="0" w:color="auto"/>
        <w:left w:val="none" w:sz="0" w:space="0" w:color="auto"/>
        <w:bottom w:val="none" w:sz="0" w:space="0" w:color="auto"/>
        <w:right w:val="none" w:sz="0" w:space="0" w:color="auto"/>
      </w:divBdr>
    </w:div>
    <w:div w:id="988022445">
      <w:bodyDiv w:val="1"/>
      <w:marLeft w:val="0"/>
      <w:marRight w:val="0"/>
      <w:marTop w:val="0"/>
      <w:marBottom w:val="0"/>
      <w:divBdr>
        <w:top w:val="none" w:sz="0" w:space="0" w:color="auto"/>
        <w:left w:val="none" w:sz="0" w:space="0" w:color="auto"/>
        <w:bottom w:val="none" w:sz="0" w:space="0" w:color="auto"/>
        <w:right w:val="none" w:sz="0" w:space="0" w:color="auto"/>
      </w:divBdr>
    </w:div>
    <w:div w:id="1574896150">
      <w:bodyDiv w:val="1"/>
      <w:marLeft w:val="0"/>
      <w:marRight w:val="0"/>
      <w:marTop w:val="0"/>
      <w:marBottom w:val="0"/>
      <w:divBdr>
        <w:top w:val="none" w:sz="0" w:space="0" w:color="auto"/>
        <w:left w:val="none" w:sz="0" w:space="0" w:color="auto"/>
        <w:bottom w:val="none" w:sz="0" w:space="0" w:color="auto"/>
        <w:right w:val="none" w:sz="0" w:space="0" w:color="auto"/>
      </w:divBdr>
    </w:div>
    <w:div w:id="1597515685">
      <w:bodyDiv w:val="1"/>
      <w:marLeft w:val="0"/>
      <w:marRight w:val="0"/>
      <w:marTop w:val="0"/>
      <w:marBottom w:val="0"/>
      <w:divBdr>
        <w:top w:val="none" w:sz="0" w:space="0" w:color="auto"/>
        <w:left w:val="none" w:sz="0" w:space="0" w:color="auto"/>
        <w:bottom w:val="none" w:sz="0" w:space="0" w:color="auto"/>
        <w:right w:val="none" w:sz="0" w:space="0" w:color="auto"/>
      </w:divBdr>
    </w:div>
    <w:div w:id="1729257388">
      <w:bodyDiv w:val="1"/>
      <w:marLeft w:val="0"/>
      <w:marRight w:val="0"/>
      <w:marTop w:val="0"/>
      <w:marBottom w:val="0"/>
      <w:divBdr>
        <w:top w:val="none" w:sz="0" w:space="0" w:color="auto"/>
        <w:left w:val="none" w:sz="0" w:space="0" w:color="auto"/>
        <w:bottom w:val="none" w:sz="0" w:space="0" w:color="auto"/>
        <w:right w:val="none" w:sz="0" w:space="0" w:color="auto"/>
      </w:divBdr>
    </w:div>
    <w:div w:id="183672851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spa-media/nhobty5i/record-retention-sop.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ccess-to-information/policies-and-procedures/standard-operating-procedures/standard-operating-procedures-p-s/"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spa.police.uk%2Fpublication-library%2Fchief-constable-s-report-30-november-2023%2Fdelivering-on-our-priorities%2F&amp;data=05%7C02%7Cfoi%40scotland.police.uk%7C5e24745e7ddd42f2548208ddc07256a4%7C6795c5d3c94b497a865c4c343e4cf141%7C0%7C0%7C638878319639697365%7CUnknown%7CTWFpbGZsb3d8eyJFbXB0eU1hcGkiOnRydWUsIlYiOiIwLjAuMDAwMCIsIlAiOiJXaW4zMiIsIkFOIjoiTWFpbCIsIldUIjoyfQ%3D%3D%7C80000%7C%7C%7C&amp;sdata=mVhYHFu4vFX4ujnQY%2FiUK2b2osEtvGRCP2p4EN%2BLAPY%3D&amp;reserved=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1274</Words>
  <Characters>7268</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