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B52EC" w14:textId="77777777" w:rsidR="000E47CE" w:rsidRPr="005E45DB" w:rsidRDefault="000E47CE" w:rsidP="000E47CE">
      <w:pPr>
        <w:rPr>
          <w:rFonts w:cs="Arial"/>
          <w:sz w:val="168"/>
          <w:szCs w:val="24"/>
        </w:rPr>
      </w:pPr>
    </w:p>
    <w:p w14:paraId="4CEB52ED" w14:textId="77777777" w:rsidR="000E47CE" w:rsidRPr="00F77618" w:rsidRDefault="000E47CE" w:rsidP="000E47CE">
      <w:pPr>
        <w:rPr>
          <w:rFonts w:cs="Arial"/>
          <w:sz w:val="2"/>
          <w:szCs w:val="24"/>
        </w:rPr>
      </w:pPr>
      <w:r w:rsidRPr="00F77618">
        <w:rPr>
          <w:noProof/>
          <w:sz w:val="176"/>
        </w:rPr>
        <w:drawing>
          <wp:inline distT="0" distB="0" distL="0" distR="0" wp14:anchorId="4CEB537E" wp14:editId="4CEB537F">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4CEB52EE" w14:textId="77777777" w:rsidR="000E47CE" w:rsidRPr="00BE1F1A" w:rsidRDefault="007B13C2" w:rsidP="000E47CE">
      <w:pPr>
        <w:pStyle w:val="Heading1"/>
        <w:spacing w:before="0" w:after="120"/>
      </w:pPr>
      <w:bookmarkStart w:id="0" w:name="_Toc119307678"/>
      <w:r>
        <w:t>Post Incident Procedures</w:t>
      </w:r>
      <w:bookmarkEnd w:id="0"/>
    </w:p>
    <w:p w14:paraId="4CEB52EF" w14:textId="77777777" w:rsidR="000E47CE" w:rsidRDefault="000E47CE" w:rsidP="000E47CE">
      <w:pPr>
        <w:rPr>
          <w:rFonts w:eastAsia="Times New Roman" w:cs="Arial"/>
          <w:sz w:val="32"/>
          <w:szCs w:val="32"/>
        </w:rPr>
      </w:pPr>
      <w:r>
        <w:rPr>
          <w:rFonts w:eastAsia="Times New Roman" w:cs="Arial"/>
          <w:sz w:val="32"/>
          <w:szCs w:val="32"/>
        </w:rPr>
        <w:t>National Guidance</w:t>
      </w:r>
    </w:p>
    <w:p w14:paraId="4CEB52F0" w14:textId="77777777" w:rsidR="00CD369A" w:rsidRPr="00CD369A" w:rsidRDefault="00CD369A" w:rsidP="00CD369A">
      <w:pPr>
        <w:pStyle w:val="Heading2"/>
        <w:rPr>
          <w:rFonts w:eastAsia="Calibri"/>
        </w:rPr>
      </w:pPr>
      <w:bookmarkStart w:id="1" w:name="_Toc119307679"/>
      <w:r w:rsidRPr="00CD369A">
        <w:rPr>
          <w:rFonts w:eastAsia="Calibri"/>
        </w:rPr>
        <w:t>Notice:</w:t>
      </w:r>
      <w:bookmarkEnd w:id="1"/>
    </w:p>
    <w:p w14:paraId="4CEB52F1" w14:textId="77777777"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4CEB52F2" w14:textId="77777777" w:rsidR="000E47CE" w:rsidRDefault="000E47CE" w:rsidP="000E47CE">
      <w:pPr>
        <w:rPr>
          <w:rFonts w:cs="Arial"/>
          <w:color w:val="000000"/>
          <w:szCs w:val="24"/>
        </w:rPr>
      </w:pPr>
      <w:r>
        <w:rPr>
          <w:rFonts w:cs="Arial"/>
          <w:color w:val="000000"/>
          <w:szCs w:val="24"/>
        </w:rPr>
        <w:t>Ow</w:t>
      </w:r>
      <w:r w:rsidR="007B13C2">
        <w:rPr>
          <w:rFonts w:cs="Arial"/>
          <w:color w:val="000000"/>
          <w:szCs w:val="24"/>
        </w:rPr>
        <w:t>ning Department: National Support, Partnerships &amp; Prevention Unit – Professional Standards Department</w:t>
      </w:r>
    </w:p>
    <w:p w14:paraId="4CEB52F3" w14:textId="5C49B995" w:rsidR="000E47CE" w:rsidRDefault="000E47CE" w:rsidP="000E47CE">
      <w:pPr>
        <w:rPr>
          <w:rFonts w:cs="Arial"/>
          <w:color w:val="000000"/>
          <w:szCs w:val="24"/>
        </w:rPr>
      </w:pPr>
      <w:r>
        <w:rPr>
          <w:rFonts w:cs="Arial"/>
          <w:color w:val="000000"/>
          <w:szCs w:val="24"/>
        </w:rPr>
        <w:t xml:space="preserve">Version Number: </w:t>
      </w:r>
      <w:r w:rsidR="007B13C2">
        <w:rPr>
          <w:rFonts w:cs="Arial"/>
          <w:color w:val="000000"/>
          <w:szCs w:val="24"/>
        </w:rPr>
        <w:t>1</w:t>
      </w:r>
      <w:r>
        <w:rPr>
          <w:rFonts w:cs="Arial"/>
          <w:color w:val="000000"/>
          <w:szCs w:val="24"/>
        </w:rPr>
        <w:t>.0</w:t>
      </w:r>
      <w:r w:rsidR="007B13C2">
        <w:rPr>
          <w:rFonts w:cs="Arial"/>
          <w:color w:val="000000"/>
          <w:szCs w:val="24"/>
        </w:rPr>
        <w:t>0</w:t>
      </w:r>
      <w:r>
        <w:rPr>
          <w:rFonts w:cs="Arial"/>
          <w:color w:val="000000"/>
          <w:szCs w:val="24"/>
        </w:rPr>
        <w:t xml:space="preserve"> </w:t>
      </w:r>
      <w:bookmarkStart w:id="2" w:name="_GoBack"/>
      <w:bookmarkEnd w:id="2"/>
    </w:p>
    <w:p w14:paraId="4CEB52F4" w14:textId="77777777" w:rsidR="000E47CE" w:rsidRDefault="000E47CE" w:rsidP="000E47CE">
      <w:pPr>
        <w:rPr>
          <w:rFonts w:cs="Arial"/>
          <w:color w:val="000000"/>
          <w:szCs w:val="24"/>
        </w:rPr>
      </w:pPr>
      <w:r>
        <w:rPr>
          <w:rFonts w:cs="Arial"/>
          <w:color w:val="000000"/>
          <w:szCs w:val="24"/>
        </w:rPr>
        <w:t xml:space="preserve">Date Published: </w:t>
      </w:r>
      <w:r w:rsidR="007B13C2">
        <w:rPr>
          <w:rFonts w:cs="Arial"/>
          <w:color w:val="000000"/>
          <w:szCs w:val="24"/>
        </w:rPr>
        <w:t>27/09/2022</w:t>
      </w:r>
    </w:p>
    <w:p w14:paraId="4CEB52F5" w14:textId="77777777" w:rsidR="004A430E" w:rsidRDefault="004A430E" w:rsidP="00161C69">
      <w:pPr>
        <w:pStyle w:val="TOCHeading"/>
      </w:pPr>
      <w:r>
        <w:br w:type="page"/>
      </w:r>
      <w:r>
        <w:lastRenderedPageBreak/>
        <w:t>Contents</w:t>
      </w:r>
    </w:p>
    <w:p w14:paraId="1BBD5B06" w14:textId="77777777" w:rsidR="00B26597"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19307678" w:history="1">
        <w:r w:rsidR="00B26597" w:rsidRPr="00245DBC">
          <w:rPr>
            <w:rStyle w:val="Hyperlink"/>
            <w:noProof/>
          </w:rPr>
          <w:t>Post Incident Procedures</w:t>
        </w:r>
        <w:r w:rsidR="00B26597">
          <w:rPr>
            <w:noProof/>
            <w:webHidden/>
          </w:rPr>
          <w:tab/>
        </w:r>
        <w:r w:rsidR="00B26597">
          <w:rPr>
            <w:noProof/>
            <w:webHidden/>
          </w:rPr>
          <w:fldChar w:fldCharType="begin"/>
        </w:r>
        <w:r w:rsidR="00B26597">
          <w:rPr>
            <w:noProof/>
            <w:webHidden/>
          </w:rPr>
          <w:instrText xml:space="preserve"> PAGEREF _Toc119307678 \h </w:instrText>
        </w:r>
        <w:r w:rsidR="00B26597">
          <w:rPr>
            <w:noProof/>
            <w:webHidden/>
          </w:rPr>
        </w:r>
        <w:r w:rsidR="00B26597">
          <w:rPr>
            <w:noProof/>
            <w:webHidden/>
          </w:rPr>
          <w:fldChar w:fldCharType="separate"/>
        </w:r>
        <w:r w:rsidR="00B26597">
          <w:rPr>
            <w:noProof/>
            <w:webHidden/>
          </w:rPr>
          <w:t>1</w:t>
        </w:r>
        <w:r w:rsidR="00B26597">
          <w:rPr>
            <w:noProof/>
            <w:webHidden/>
          </w:rPr>
          <w:fldChar w:fldCharType="end"/>
        </w:r>
      </w:hyperlink>
    </w:p>
    <w:p w14:paraId="4A59BD7C" w14:textId="77777777" w:rsidR="00B26597" w:rsidRDefault="00717C73">
      <w:pPr>
        <w:pStyle w:val="TOC2"/>
        <w:tabs>
          <w:tab w:val="right" w:leader="dot" w:pos="9038"/>
        </w:tabs>
        <w:rPr>
          <w:rFonts w:asciiTheme="minorHAnsi" w:eastAsiaTheme="minorEastAsia" w:hAnsiTheme="minorHAnsi" w:cstheme="minorBidi"/>
          <w:noProof/>
          <w:sz w:val="22"/>
        </w:rPr>
      </w:pPr>
      <w:hyperlink w:anchor="_Toc119307679" w:history="1">
        <w:r w:rsidR="00B26597" w:rsidRPr="00245DBC">
          <w:rPr>
            <w:rStyle w:val="Hyperlink"/>
            <w:noProof/>
          </w:rPr>
          <w:t>Notice:</w:t>
        </w:r>
        <w:r w:rsidR="00B26597">
          <w:rPr>
            <w:noProof/>
            <w:webHidden/>
          </w:rPr>
          <w:tab/>
        </w:r>
        <w:r w:rsidR="00B26597">
          <w:rPr>
            <w:noProof/>
            <w:webHidden/>
          </w:rPr>
          <w:fldChar w:fldCharType="begin"/>
        </w:r>
        <w:r w:rsidR="00B26597">
          <w:rPr>
            <w:noProof/>
            <w:webHidden/>
          </w:rPr>
          <w:instrText xml:space="preserve"> PAGEREF _Toc119307679 \h </w:instrText>
        </w:r>
        <w:r w:rsidR="00B26597">
          <w:rPr>
            <w:noProof/>
            <w:webHidden/>
          </w:rPr>
        </w:r>
        <w:r w:rsidR="00B26597">
          <w:rPr>
            <w:noProof/>
            <w:webHidden/>
          </w:rPr>
          <w:fldChar w:fldCharType="separate"/>
        </w:r>
        <w:r w:rsidR="00B26597">
          <w:rPr>
            <w:noProof/>
            <w:webHidden/>
          </w:rPr>
          <w:t>1</w:t>
        </w:r>
        <w:r w:rsidR="00B26597">
          <w:rPr>
            <w:noProof/>
            <w:webHidden/>
          </w:rPr>
          <w:fldChar w:fldCharType="end"/>
        </w:r>
      </w:hyperlink>
    </w:p>
    <w:p w14:paraId="6FC722BF"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0" w:history="1">
        <w:r w:rsidR="00B26597" w:rsidRPr="00245DBC">
          <w:rPr>
            <w:rStyle w:val="Hyperlink"/>
            <w:noProof/>
          </w:rPr>
          <w:t>1.</w:t>
        </w:r>
        <w:r w:rsidR="00B26597">
          <w:rPr>
            <w:rFonts w:asciiTheme="minorHAnsi" w:eastAsiaTheme="minorEastAsia" w:hAnsiTheme="minorHAnsi" w:cstheme="minorBidi"/>
            <w:noProof/>
            <w:sz w:val="22"/>
          </w:rPr>
          <w:tab/>
        </w:r>
        <w:r w:rsidR="00B26597" w:rsidRPr="00245DBC">
          <w:rPr>
            <w:rStyle w:val="Hyperlink"/>
            <w:noProof/>
          </w:rPr>
          <w:t>Purpose</w:t>
        </w:r>
        <w:r w:rsidR="00B26597">
          <w:rPr>
            <w:noProof/>
            <w:webHidden/>
          </w:rPr>
          <w:tab/>
        </w:r>
        <w:r w:rsidR="00B26597">
          <w:rPr>
            <w:noProof/>
            <w:webHidden/>
          </w:rPr>
          <w:fldChar w:fldCharType="begin"/>
        </w:r>
        <w:r w:rsidR="00B26597">
          <w:rPr>
            <w:noProof/>
            <w:webHidden/>
          </w:rPr>
          <w:instrText xml:space="preserve"> PAGEREF _Toc119307680 \h </w:instrText>
        </w:r>
        <w:r w:rsidR="00B26597">
          <w:rPr>
            <w:noProof/>
            <w:webHidden/>
          </w:rPr>
        </w:r>
        <w:r w:rsidR="00B26597">
          <w:rPr>
            <w:noProof/>
            <w:webHidden/>
          </w:rPr>
          <w:fldChar w:fldCharType="separate"/>
        </w:r>
        <w:r w:rsidR="00B26597">
          <w:rPr>
            <w:noProof/>
            <w:webHidden/>
          </w:rPr>
          <w:t>3</w:t>
        </w:r>
        <w:r w:rsidR="00B26597">
          <w:rPr>
            <w:noProof/>
            <w:webHidden/>
          </w:rPr>
          <w:fldChar w:fldCharType="end"/>
        </w:r>
      </w:hyperlink>
    </w:p>
    <w:p w14:paraId="458CFE62"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1" w:history="1">
        <w:r w:rsidR="00B26597" w:rsidRPr="00245DBC">
          <w:rPr>
            <w:rStyle w:val="Hyperlink"/>
            <w:noProof/>
          </w:rPr>
          <w:t>2.</w:t>
        </w:r>
        <w:r w:rsidR="00B26597">
          <w:rPr>
            <w:rFonts w:asciiTheme="minorHAnsi" w:eastAsiaTheme="minorEastAsia" w:hAnsiTheme="minorHAnsi" w:cstheme="minorBidi"/>
            <w:noProof/>
            <w:sz w:val="22"/>
          </w:rPr>
          <w:tab/>
        </w:r>
        <w:r w:rsidR="00B26597" w:rsidRPr="00245DBC">
          <w:rPr>
            <w:rStyle w:val="Hyperlink"/>
            <w:noProof/>
          </w:rPr>
          <w:t>Background</w:t>
        </w:r>
        <w:r w:rsidR="00B26597">
          <w:rPr>
            <w:noProof/>
            <w:webHidden/>
          </w:rPr>
          <w:tab/>
        </w:r>
        <w:r w:rsidR="00B26597">
          <w:rPr>
            <w:noProof/>
            <w:webHidden/>
          </w:rPr>
          <w:fldChar w:fldCharType="begin"/>
        </w:r>
        <w:r w:rsidR="00B26597">
          <w:rPr>
            <w:noProof/>
            <w:webHidden/>
          </w:rPr>
          <w:instrText xml:space="preserve"> PAGEREF _Toc119307681 \h </w:instrText>
        </w:r>
        <w:r w:rsidR="00B26597">
          <w:rPr>
            <w:noProof/>
            <w:webHidden/>
          </w:rPr>
        </w:r>
        <w:r w:rsidR="00B26597">
          <w:rPr>
            <w:noProof/>
            <w:webHidden/>
          </w:rPr>
          <w:fldChar w:fldCharType="separate"/>
        </w:r>
        <w:r w:rsidR="00B26597">
          <w:rPr>
            <w:noProof/>
            <w:webHidden/>
          </w:rPr>
          <w:t>3</w:t>
        </w:r>
        <w:r w:rsidR="00B26597">
          <w:rPr>
            <w:noProof/>
            <w:webHidden/>
          </w:rPr>
          <w:fldChar w:fldCharType="end"/>
        </w:r>
      </w:hyperlink>
    </w:p>
    <w:p w14:paraId="4D07DF53"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2" w:history="1">
        <w:r w:rsidR="00B26597" w:rsidRPr="00245DBC">
          <w:rPr>
            <w:rStyle w:val="Hyperlink"/>
            <w:noProof/>
          </w:rPr>
          <w:t>3.</w:t>
        </w:r>
        <w:r w:rsidR="00B26597">
          <w:rPr>
            <w:rFonts w:asciiTheme="minorHAnsi" w:eastAsiaTheme="minorEastAsia" w:hAnsiTheme="minorHAnsi" w:cstheme="minorBidi"/>
            <w:noProof/>
            <w:sz w:val="22"/>
          </w:rPr>
          <w:tab/>
        </w:r>
        <w:r w:rsidR="00B26597" w:rsidRPr="00245DBC">
          <w:rPr>
            <w:rStyle w:val="Hyperlink"/>
            <w:noProof/>
          </w:rPr>
          <w:t>Post Incident Procedures</w:t>
        </w:r>
        <w:r w:rsidR="00B26597">
          <w:rPr>
            <w:noProof/>
            <w:webHidden/>
          </w:rPr>
          <w:tab/>
        </w:r>
        <w:r w:rsidR="00B26597">
          <w:rPr>
            <w:noProof/>
            <w:webHidden/>
          </w:rPr>
          <w:fldChar w:fldCharType="begin"/>
        </w:r>
        <w:r w:rsidR="00B26597">
          <w:rPr>
            <w:noProof/>
            <w:webHidden/>
          </w:rPr>
          <w:instrText xml:space="preserve"> PAGEREF _Toc119307682 \h </w:instrText>
        </w:r>
        <w:r w:rsidR="00B26597">
          <w:rPr>
            <w:noProof/>
            <w:webHidden/>
          </w:rPr>
        </w:r>
        <w:r w:rsidR="00B26597">
          <w:rPr>
            <w:noProof/>
            <w:webHidden/>
          </w:rPr>
          <w:fldChar w:fldCharType="separate"/>
        </w:r>
        <w:r w:rsidR="00B26597">
          <w:rPr>
            <w:noProof/>
            <w:webHidden/>
          </w:rPr>
          <w:t>4</w:t>
        </w:r>
        <w:r w:rsidR="00B26597">
          <w:rPr>
            <w:noProof/>
            <w:webHidden/>
          </w:rPr>
          <w:fldChar w:fldCharType="end"/>
        </w:r>
      </w:hyperlink>
    </w:p>
    <w:p w14:paraId="420F584E"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3" w:history="1">
        <w:r w:rsidR="00B26597" w:rsidRPr="00245DBC">
          <w:rPr>
            <w:rStyle w:val="Hyperlink"/>
            <w:noProof/>
          </w:rPr>
          <w:t>4.</w:t>
        </w:r>
        <w:r w:rsidR="00B26597">
          <w:rPr>
            <w:rFonts w:asciiTheme="minorHAnsi" w:eastAsiaTheme="minorEastAsia" w:hAnsiTheme="minorHAnsi" w:cstheme="minorBidi"/>
            <w:noProof/>
            <w:sz w:val="22"/>
          </w:rPr>
          <w:tab/>
        </w:r>
        <w:r w:rsidR="00B26597" w:rsidRPr="00245DBC">
          <w:rPr>
            <w:rStyle w:val="Hyperlink"/>
            <w:noProof/>
          </w:rPr>
          <w:t>The Post Incident Procedures Suite</w:t>
        </w:r>
        <w:r w:rsidR="00B26597">
          <w:rPr>
            <w:noProof/>
            <w:webHidden/>
          </w:rPr>
          <w:tab/>
        </w:r>
        <w:r w:rsidR="00B26597">
          <w:rPr>
            <w:noProof/>
            <w:webHidden/>
          </w:rPr>
          <w:fldChar w:fldCharType="begin"/>
        </w:r>
        <w:r w:rsidR="00B26597">
          <w:rPr>
            <w:noProof/>
            <w:webHidden/>
          </w:rPr>
          <w:instrText xml:space="preserve"> PAGEREF _Toc119307683 \h </w:instrText>
        </w:r>
        <w:r w:rsidR="00B26597">
          <w:rPr>
            <w:noProof/>
            <w:webHidden/>
          </w:rPr>
        </w:r>
        <w:r w:rsidR="00B26597">
          <w:rPr>
            <w:noProof/>
            <w:webHidden/>
          </w:rPr>
          <w:fldChar w:fldCharType="separate"/>
        </w:r>
        <w:r w:rsidR="00B26597">
          <w:rPr>
            <w:noProof/>
            <w:webHidden/>
          </w:rPr>
          <w:t>5</w:t>
        </w:r>
        <w:r w:rsidR="00B26597">
          <w:rPr>
            <w:noProof/>
            <w:webHidden/>
          </w:rPr>
          <w:fldChar w:fldCharType="end"/>
        </w:r>
      </w:hyperlink>
    </w:p>
    <w:p w14:paraId="61BB8A6A"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4" w:history="1">
        <w:r w:rsidR="00B26597" w:rsidRPr="00245DBC">
          <w:rPr>
            <w:rStyle w:val="Hyperlink"/>
            <w:noProof/>
          </w:rPr>
          <w:t>5.</w:t>
        </w:r>
        <w:r w:rsidR="00B26597">
          <w:rPr>
            <w:rFonts w:asciiTheme="minorHAnsi" w:eastAsiaTheme="minorEastAsia" w:hAnsiTheme="minorHAnsi" w:cstheme="minorBidi"/>
            <w:noProof/>
            <w:sz w:val="22"/>
          </w:rPr>
          <w:tab/>
        </w:r>
        <w:r w:rsidR="00B26597" w:rsidRPr="00245DBC">
          <w:rPr>
            <w:rStyle w:val="Hyperlink"/>
            <w:noProof/>
          </w:rPr>
          <w:t>Key Police Witnesses</w:t>
        </w:r>
        <w:r w:rsidR="00B26597">
          <w:rPr>
            <w:noProof/>
            <w:webHidden/>
          </w:rPr>
          <w:tab/>
        </w:r>
        <w:r w:rsidR="00B26597">
          <w:rPr>
            <w:noProof/>
            <w:webHidden/>
          </w:rPr>
          <w:fldChar w:fldCharType="begin"/>
        </w:r>
        <w:r w:rsidR="00B26597">
          <w:rPr>
            <w:noProof/>
            <w:webHidden/>
          </w:rPr>
          <w:instrText xml:space="preserve"> PAGEREF _Toc119307684 \h </w:instrText>
        </w:r>
        <w:r w:rsidR="00B26597">
          <w:rPr>
            <w:noProof/>
            <w:webHidden/>
          </w:rPr>
        </w:r>
        <w:r w:rsidR="00B26597">
          <w:rPr>
            <w:noProof/>
            <w:webHidden/>
          </w:rPr>
          <w:fldChar w:fldCharType="separate"/>
        </w:r>
        <w:r w:rsidR="00B26597">
          <w:rPr>
            <w:noProof/>
            <w:webHidden/>
          </w:rPr>
          <w:t>5</w:t>
        </w:r>
        <w:r w:rsidR="00B26597">
          <w:rPr>
            <w:noProof/>
            <w:webHidden/>
          </w:rPr>
          <w:fldChar w:fldCharType="end"/>
        </w:r>
      </w:hyperlink>
    </w:p>
    <w:p w14:paraId="72B9FBCA" w14:textId="77777777" w:rsidR="00B26597" w:rsidRDefault="00717C73">
      <w:pPr>
        <w:pStyle w:val="TOC3"/>
        <w:tabs>
          <w:tab w:val="right" w:leader="dot" w:pos="9038"/>
        </w:tabs>
        <w:rPr>
          <w:rFonts w:asciiTheme="minorHAnsi" w:eastAsiaTheme="minorEastAsia" w:hAnsiTheme="minorHAnsi" w:cstheme="minorBidi"/>
          <w:noProof/>
          <w:sz w:val="22"/>
        </w:rPr>
      </w:pPr>
      <w:hyperlink w:anchor="_Toc119307685" w:history="1">
        <w:r w:rsidR="00B26597" w:rsidRPr="00245DBC">
          <w:rPr>
            <w:rStyle w:val="Hyperlink"/>
            <w:noProof/>
          </w:rPr>
          <w:t>Protected Identify of Officers/Staff</w:t>
        </w:r>
        <w:r w:rsidR="00B26597">
          <w:rPr>
            <w:noProof/>
            <w:webHidden/>
          </w:rPr>
          <w:tab/>
        </w:r>
        <w:r w:rsidR="00B26597">
          <w:rPr>
            <w:noProof/>
            <w:webHidden/>
          </w:rPr>
          <w:fldChar w:fldCharType="begin"/>
        </w:r>
        <w:r w:rsidR="00B26597">
          <w:rPr>
            <w:noProof/>
            <w:webHidden/>
          </w:rPr>
          <w:instrText xml:space="preserve"> PAGEREF _Toc119307685 \h </w:instrText>
        </w:r>
        <w:r w:rsidR="00B26597">
          <w:rPr>
            <w:noProof/>
            <w:webHidden/>
          </w:rPr>
        </w:r>
        <w:r w:rsidR="00B26597">
          <w:rPr>
            <w:noProof/>
            <w:webHidden/>
          </w:rPr>
          <w:fldChar w:fldCharType="separate"/>
        </w:r>
        <w:r w:rsidR="00B26597">
          <w:rPr>
            <w:noProof/>
            <w:webHidden/>
          </w:rPr>
          <w:t>6</w:t>
        </w:r>
        <w:r w:rsidR="00B26597">
          <w:rPr>
            <w:noProof/>
            <w:webHidden/>
          </w:rPr>
          <w:fldChar w:fldCharType="end"/>
        </w:r>
      </w:hyperlink>
    </w:p>
    <w:p w14:paraId="63FD7B2D" w14:textId="77777777" w:rsidR="00B26597" w:rsidRDefault="00717C73">
      <w:pPr>
        <w:pStyle w:val="TOC3"/>
        <w:tabs>
          <w:tab w:val="right" w:leader="dot" w:pos="9038"/>
        </w:tabs>
        <w:rPr>
          <w:rFonts w:asciiTheme="minorHAnsi" w:eastAsiaTheme="minorEastAsia" w:hAnsiTheme="minorHAnsi" w:cstheme="minorBidi"/>
          <w:noProof/>
          <w:sz w:val="22"/>
        </w:rPr>
      </w:pPr>
      <w:hyperlink w:anchor="_Toc119307686" w:history="1">
        <w:r w:rsidR="00B26597" w:rsidRPr="00245DBC">
          <w:rPr>
            <w:rStyle w:val="Hyperlink"/>
            <w:noProof/>
          </w:rPr>
          <w:t>Drug and Alcohol Testing and Forensic Elimination Samples</w:t>
        </w:r>
        <w:r w:rsidR="00B26597">
          <w:rPr>
            <w:noProof/>
            <w:webHidden/>
          </w:rPr>
          <w:tab/>
        </w:r>
        <w:r w:rsidR="00B26597">
          <w:rPr>
            <w:noProof/>
            <w:webHidden/>
          </w:rPr>
          <w:fldChar w:fldCharType="begin"/>
        </w:r>
        <w:r w:rsidR="00B26597">
          <w:rPr>
            <w:noProof/>
            <w:webHidden/>
          </w:rPr>
          <w:instrText xml:space="preserve"> PAGEREF _Toc119307686 \h </w:instrText>
        </w:r>
        <w:r w:rsidR="00B26597">
          <w:rPr>
            <w:noProof/>
            <w:webHidden/>
          </w:rPr>
        </w:r>
        <w:r w:rsidR="00B26597">
          <w:rPr>
            <w:noProof/>
            <w:webHidden/>
          </w:rPr>
          <w:fldChar w:fldCharType="separate"/>
        </w:r>
        <w:r w:rsidR="00B26597">
          <w:rPr>
            <w:noProof/>
            <w:webHidden/>
          </w:rPr>
          <w:t>6</w:t>
        </w:r>
        <w:r w:rsidR="00B26597">
          <w:rPr>
            <w:noProof/>
            <w:webHidden/>
          </w:rPr>
          <w:fldChar w:fldCharType="end"/>
        </w:r>
      </w:hyperlink>
    </w:p>
    <w:p w14:paraId="0E6B64DD"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7" w:history="1">
        <w:r w:rsidR="00B26597" w:rsidRPr="00245DBC">
          <w:rPr>
            <w:rStyle w:val="Hyperlink"/>
            <w:noProof/>
          </w:rPr>
          <w:t>6.</w:t>
        </w:r>
        <w:r w:rsidR="00B26597">
          <w:rPr>
            <w:rFonts w:asciiTheme="minorHAnsi" w:eastAsiaTheme="minorEastAsia" w:hAnsiTheme="minorHAnsi" w:cstheme="minorBidi"/>
            <w:noProof/>
            <w:sz w:val="22"/>
          </w:rPr>
          <w:tab/>
        </w:r>
        <w:r w:rsidR="00B26597" w:rsidRPr="00245DBC">
          <w:rPr>
            <w:rStyle w:val="Hyperlink"/>
            <w:noProof/>
          </w:rPr>
          <w:t>Wellbeing</w:t>
        </w:r>
        <w:r w:rsidR="00B26597">
          <w:rPr>
            <w:noProof/>
            <w:webHidden/>
          </w:rPr>
          <w:tab/>
        </w:r>
        <w:r w:rsidR="00B26597">
          <w:rPr>
            <w:noProof/>
            <w:webHidden/>
          </w:rPr>
          <w:fldChar w:fldCharType="begin"/>
        </w:r>
        <w:r w:rsidR="00B26597">
          <w:rPr>
            <w:noProof/>
            <w:webHidden/>
          </w:rPr>
          <w:instrText xml:space="preserve"> PAGEREF _Toc119307687 \h </w:instrText>
        </w:r>
        <w:r w:rsidR="00B26597">
          <w:rPr>
            <w:noProof/>
            <w:webHidden/>
          </w:rPr>
        </w:r>
        <w:r w:rsidR="00B26597">
          <w:rPr>
            <w:noProof/>
            <w:webHidden/>
          </w:rPr>
          <w:fldChar w:fldCharType="separate"/>
        </w:r>
        <w:r w:rsidR="00B26597">
          <w:rPr>
            <w:noProof/>
            <w:webHidden/>
          </w:rPr>
          <w:t>7</w:t>
        </w:r>
        <w:r w:rsidR="00B26597">
          <w:rPr>
            <w:noProof/>
            <w:webHidden/>
          </w:rPr>
          <w:fldChar w:fldCharType="end"/>
        </w:r>
      </w:hyperlink>
    </w:p>
    <w:p w14:paraId="49091AE5" w14:textId="77777777" w:rsidR="00B26597" w:rsidRDefault="00717C73">
      <w:pPr>
        <w:pStyle w:val="TOC2"/>
        <w:tabs>
          <w:tab w:val="left" w:pos="660"/>
          <w:tab w:val="right" w:leader="dot" w:pos="9038"/>
        </w:tabs>
        <w:rPr>
          <w:rFonts w:asciiTheme="minorHAnsi" w:eastAsiaTheme="minorEastAsia" w:hAnsiTheme="minorHAnsi" w:cstheme="minorBidi"/>
          <w:noProof/>
          <w:sz w:val="22"/>
        </w:rPr>
      </w:pPr>
      <w:hyperlink w:anchor="_Toc119307688" w:history="1">
        <w:r w:rsidR="00B26597" w:rsidRPr="00245DBC">
          <w:rPr>
            <w:rStyle w:val="Hyperlink"/>
            <w:noProof/>
          </w:rPr>
          <w:t>7.</w:t>
        </w:r>
        <w:r w:rsidR="00B26597">
          <w:rPr>
            <w:rFonts w:asciiTheme="minorHAnsi" w:eastAsiaTheme="minorEastAsia" w:hAnsiTheme="minorHAnsi" w:cstheme="minorBidi"/>
            <w:noProof/>
            <w:sz w:val="22"/>
          </w:rPr>
          <w:tab/>
        </w:r>
        <w:r w:rsidR="00B26597" w:rsidRPr="00245DBC">
          <w:rPr>
            <w:rStyle w:val="Hyperlink"/>
            <w:noProof/>
          </w:rPr>
          <w:t>Cross Jurisdictional Matters</w:t>
        </w:r>
        <w:r w:rsidR="00B26597">
          <w:rPr>
            <w:noProof/>
            <w:webHidden/>
          </w:rPr>
          <w:tab/>
        </w:r>
        <w:r w:rsidR="00B26597">
          <w:rPr>
            <w:noProof/>
            <w:webHidden/>
          </w:rPr>
          <w:fldChar w:fldCharType="begin"/>
        </w:r>
        <w:r w:rsidR="00B26597">
          <w:rPr>
            <w:noProof/>
            <w:webHidden/>
          </w:rPr>
          <w:instrText xml:space="preserve"> PAGEREF _Toc119307688 \h </w:instrText>
        </w:r>
        <w:r w:rsidR="00B26597">
          <w:rPr>
            <w:noProof/>
            <w:webHidden/>
          </w:rPr>
        </w:r>
        <w:r w:rsidR="00B26597">
          <w:rPr>
            <w:noProof/>
            <w:webHidden/>
          </w:rPr>
          <w:fldChar w:fldCharType="separate"/>
        </w:r>
        <w:r w:rsidR="00B26597">
          <w:rPr>
            <w:noProof/>
            <w:webHidden/>
          </w:rPr>
          <w:t>8</w:t>
        </w:r>
        <w:r w:rsidR="00B26597">
          <w:rPr>
            <w:noProof/>
            <w:webHidden/>
          </w:rPr>
          <w:fldChar w:fldCharType="end"/>
        </w:r>
      </w:hyperlink>
    </w:p>
    <w:p w14:paraId="7D59AE43" w14:textId="77777777" w:rsidR="00B26597" w:rsidRDefault="00717C73">
      <w:pPr>
        <w:pStyle w:val="TOC2"/>
        <w:tabs>
          <w:tab w:val="right" w:leader="dot" w:pos="9038"/>
        </w:tabs>
        <w:rPr>
          <w:rFonts w:asciiTheme="minorHAnsi" w:eastAsiaTheme="minorEastAsia" w:hAnsiTheme="minorHAnsi" w:cstheme="minorBidi"/>
          <w:noProof/>
          <w:sz w:val="22"/>
        </w:rPr>
      </w:pPr>
      <w:hyperlink w:anchor="_Toc119307689" w:history="1">
        <w:r w:rsidR="00B26597" w:rsidRPr="00245DBC">
          <w:rPr>
            <w:rStyle w:val="Hyperlink"/>
            <w:noProof/>
          </w:rPr>
          <w:t>Appendix A</w:t>
        </w:r>
        <w:r w:rsidR="00B26597">
          <w:rPr>
            <w:noProof/>
            <w:webHidden/>
          </w:rPr>
          <w:tab/>
        </w:r>
        <w:r w:rsidR="00B26597">
          <w:rPr>
            <w:noProof/>
            <w:webHidden/>
          </w:rPr>
          <w:fldChar w:fldCharType="begin"/>
        </w:r>
        <w:r w:rsidR="00B26597">
          <w:rPr>
            <w:noProof/>
            <w:webHidden/>
          </w:rPr>
          <w:instrText xml:space="preserve"> PAGEREF _Toc119307689 \h </w:instrText>
        </w:r>
        <w:r w:rsidR="00B26597">
          <w:rPr>
            <w:noProof/>
            <w:webHidden/>
          </w:rPr>
        </w:r>
        <w:r w:rsidR="00B26597">
          <w:rPr>
            <w:noProof/>
            <w:webHidden/>
          </w:rPr>
          <w:fldChar w:fldCharType="separate"/>
        </w:r>
        <w:r w:rsidR="00B26597">
          <w:rPr>
            <w:noProof/>
            <w:webHidden/>
          </w:rPr>
          <w:t>10</w:t>
        </w:r>
        <w:r w:rsidR="00B26597">
          <w:rPr>
            <w:noProof/>
            <w:webHidden/>
          </w:rPr>
          <w:fldChar w:fldCharType="end"/>
        </w:r>
      </w:hyperlink>
    </w:p>
    <w:p w14:paraId="747F2FD5" w14:textId="77777777" w:rsidR="00B26597" w:rsidRDefault="00717C73">
      <w:pPr>
        <w:pStyle w:val="TOC3"/>
        <w:tabs>
          <w:tab w:val="right" w:leader="dot" w:pos="9038"/>
        </w:tabs>
        <w:rPr>
          <w:rFonts w:asciiTheme="minorHAnsi" w:eastAsiaTheme="minorEastAsia" w:hAnsiTheme="minorHAnsi" w:cstheme="minorBidi"/>
          <w:noProof/>
          <w:sz w:val="22"/>
        </w:rPr>
      </w:pPr>
      <w:hyperlink w:anchor="_Toc119307690" w:history="1">
        <w:r w:rsidR="00B26597" w:rsidRPr="00245DBC">
          <w:rPr>
            <w:rStyle w:val="Hyperlink"/>
            <w:noProof/>
          </w:rPr>
          <w:t>Post Incident Suite Locations</w:t>
        </w:r>
        <w:r w:rsidR="00B26597">
          <w:rPr>
            <w:noProof/>
            <w:webHidden/>
          </w:rPr>
          <w:tab/>
        </w:r>
        <w:r w:rsidR="00B26597">
          <w:rPr>
            <w:noProof/>
            <w:webHidden/>
          </w:rPr>
          <w:fldChar w:fldCharType="begin"/>
        </w:r>
        <w:r w:rsidR="00B26597">
          <w:rPr>
            <w:noProof/>
            <w:webHidden/>
          </w:rPr>
          <w:instrText xml:space="preserve"> PAGEREF _Toc119307690 \h </w:instrText>
        </w:r>
        <w:r w:rsidR="00B26597">
          <w:rPr>
            <w:noProof/>
            <w:webHidden/>
          </w:rPr>
        </w:r>
        <w:r w:rsidR="00B26597">
          <w:rPr>
            <w:noProof/>
            <w:webHidden/>
          </w:rPr>
          <w:fldChar w:fldCharType="separate"/>
        </w:r>
        <w:r w:rsidR="00B26597">
          <w:rPr>
            <w:noProof/>
            <w:webHidden/>
          </w:rPr>
          <w:t>10</w:t>
        </w:r>
        <w:r w:rsidR="00B26597">
          <w:rPr>
            <w:noProof/>
            <w:webHidden/>
          </w:rPr>
          <w:fldChar w:fldCharType="end"/>
        </w:r>
      </w:hyperlink>
    </w:p>
    <w:p w14:paraId="4E5AE302" w14:textId="77777777" w:rsidR="00B26597" w:rsidRDefault="00717C73">
      <w:pPr>
        <w:pStyle w:val="TOC2"/>
        <w:tabs>
          <w:tab w:val="right" w:leader="dot" w:pos="9038"/>
        </w:tabs>
        <w:rPr>
          <w:rFonts w:asciiTheme="minorHAnsi" w:eastAsiaTheme="minorEastAsia" w:hAnsiTheme="minorHAnsi" w:cstheme="minorBidi"/>
          <w:noProof/>
          <w:sz w:val="22"/>
        </w:rPr>
      </w:pPr>
      <w:hyperlink w:anchor="_Toc119307691" w:history="1">
        <w:r w:rsidR="00B26597" w:rsidRPr="00245DBC">
          <w:rPr>
            <w:rStyle w:val="Hyperlink"/>
            <w:noProof/>
          </w:rPr>
          <w:t>Compliance record</w:t>
        </w:r>
        <w:r w:rsidR="00B26597">
          <w:rPr>
            <w:noProof/>
            <w:webHidden/>
          </w:rPr>
          <w:tab/>
        </w:r>
        <w:r w:rsidR="00B26597">
          <w:rPr>
            <w:noProof/>
            <w:webHidden/>
          </w:rPr>
          <w:fldChar w:fldCharType="begin"/>
        </w:r>
        <w:r w:rsidR="00B26597">
          <w:rPr>
            <w:noProof/>
            <w:webHidden/>
          </w:rPr>
          <w:instrText xml:space="preserve"> PAGEREF _Toc119307691 \h </w:instrText>
        </w:r>
        <w:r w:rsidR="00B26597">
          <w:rPr>
            <w:noProof/>
            <w:webHidden/>
          </w:rPr>
        </w:r>
        <w:r w:rsidR="00B26597">
          <w:rPr>
            <w:noProof/>
            <w:webHidden/>
          </w:rPr>
          <w:fldChar w:fldCharType="separate"/>
        </w:r>
        <w:r w:rsidR="00B26597">
          <w:rPr>
            <w:noProof/>
            <w:webHidden/>
          </w:rPr>
          <w:t>11</w:t>
        </w:r>
        <w:r w:rsidR="00B26597">
          <w:rPr>
            <w:noProof/>
            <w:webHidden/>
          </w:rPr>
          <w:fldChar w:fldCharType="end"/>
        </w:r>
      </w:hyperlink>
    </w:p>
    <w:p w14:paraId="0FC39B79" w14:textId="77777777" w:rsidR="00B26597" w:rsidRDefault="00717C73">
      <w:pPr>
        <w:pStyle w:val="TOC2"/>
        <w:tabs>
          <w:tab w:val="right" w:leader="dot" w:pos="9038"/>
        </w:tabs>
        <w:rPr>
          <w:rFonts w:asciiTheme="minorHAnsi" w:eastAsiaTheme="minorEastAsia" w:hAnsiTheme="minorHAnsi" w:cstheme="minorBidi"/>
          <w:noProof/>
          <w:sz w:val="22"/>
        </w:rPr>
      </w:pPr>
      <w:hyperlink w:anchor="_Toc119307692" w:history="1">
        <w:r w:rsidR="00B26597" w:rsidRPr="00245DBC">
          <w:rPr>
            <w:rStyle w:val="Hyperlink"/>
            <w:noProof/>
          </w:rPr>
          <w:t>Version control table</w:t>
        </w:r>
        <w:r w:rsidR="00B26597">
          <w:rPr>
            <w:noProof/>
            <w:webHidden/>
          </w:rPr>
          <w:tab/>
        </w:r>
        <w:r w:rsidR="00B26597">
          <w:rPr>
            <w:noProof/>
            <w:webHidden/>
          </w:rPr>
          <w:fldChar w:fldCharType="begin"/>
        </w:r>
        <w:r w:rsidR="00B26597">
          <w:rPr>
            <w:noProof/>
            <w:webHidden/>
          </w:rPr>
          <w:instrText xml:space="preserve"> PAGEREF _Toc119307692 \h </w:instrText>
        </w:r>
        <w:r w:rsidR="00B26597">
          <w:rPr>
            <w:noProof/>
            <w:webHidden/>
          </w:rPr>
        </w:r>
        <w:r w:rsidR="00B26597">
          <w:rPr>
            <w:noProof/>
            <w:webHidden/>
          </w:rPr>
          <w:fldChar w:fldCharType="separate"/>
        </w:r>
        <w:r w:rsidR="00B26597">
          <w:rPr>
            <w:noProof/>
            <w:webHidden/>
          </w:rPr>
          <w:t>11</w:t>
        </w:r>
        <w:r w:rsidR="00B26597">
          <w:rPr>
            <w:noProof/>
            <w:webHidden/>
          </w:rPr>
          <w:fldChar w:fldCharType="end"/>
        </w:r>
      </w:hyperlink>
    </w:p>
    <w:p w14:paraId="5E3018F8" w14:textId="77777777" w:rsidR="00B26597" w:rsidRDefault="00717C73">
      <w:pPr>
        <w:pStyle w:val="TOC2"/>
        <w:tabs>
          <w:tab w:val="right" w:leader="dot" w:pos="9038"/>
        </w:tabs>
        <w:rPr>
          <w:rFonts w:asciiTheme="minorHAnsi" w:eastAsiaTheme="minorEastAsia" w:hAnsiTheme="minorHAnsi" w:cstheme="minorBidi"/>
          <w:noProof/>
          <w:sz w:val="22"/>
        </w:rPr>
      </w:pPr>
      <w:hyperlink w:anchor="_Toc119307693" w:history="1">
        <w:r w:rsidR="00B26597" w:rsidRPr="00245DBC">
          <w:rPr>
            <w:rStyle w:val="Hyperlink"/>
            <w:noProof/>
          </w:rPr>
          <w:t>Feedback</w:t>
        </w:r>
        <w:r w:rsidR="00B26597">
          <w:rPr>
            <w:noProof/>
            <w:webHidden/>
          </w:rPr>
          <w:tab/>
        </w:r>
        <w:r w:rsidR="00B26597">
          <w:rPr>
            <w:noProof/>
            <w:webHidden/>
          </w:rPr>
          <w:fldChar w:fldCharType="begin"/>
        </w:r>
        <w:r w:rsidR="00B26597">
          <w:rPr>
            <w:noProof/>
            <w:webHidden/>
          </w:rPr>
          <w:instrText xml:space="preserve"> PAGEREF _Toc119307693 \h </w:instrText>
        </w:r>
        <w:r w:rsidR="00B26597">
          <w:rPr>
            <w:noProof/>
            <w:webHidden/>
          </w:rPr>
        </w:r>
        <w:r w:rsidR="00B26597">
          <w:rPr>
            <w:noProof/>
            <w:webHidden/>
          </w:rPr>
          <w:fldChar w:fldCharType="separate"/>
        </w:r>
        <w:r w:rsidR="00B26597">
          <w:rPr>
            <w:noProof/>
            <w:webHidden/>
          </w:rPr>
          <w:t>11</w:t>
        </w:r>
        <w:r w:rsidR="00B26597">
          <w:rPr>
            <w:noProof/>
            <w:webHidden/>
          </w:rPr>
          <w:fldChar w:fldCharType="end"/>
        </w:r>
      </w:hyperlink>
    </w:p>
    <w:p w14:paraId="4CEB5306" w14:textId="77777777" w:rsidR="00161C69" w:rsidRDefault="004A430E" w:rsidP="00161C69">
      <w:pPr>
        <w:rPr>
          <w:noProof/>
        </w:rPr>
      </w:pPr>
      <w:r>
        <w:rPr>
          <w:noProof/>
        </w:rPr>
        <w:fldChar w:fldCharType="end"/>
      </w:r>
    </w:p>
    <w:p w14:paraId="4CEB5307" w14:textId="77777777" w:rsidR="00161C69" w:rsidRDefault="00161C69">
      <w:pPr>
        <w:spacing w:before="0" w:line="240" w:lineRule="auto"/>
        <w:rPr>
          <w:rFonts w:eastAsia="Times New Roman"/>
          <w:b/>
          <w:bCs/>
          <w:noProof/>
          <w:sz w:val="32"/>
          <w:szCs w:val="26"/>
        </w:rPr>
      </w:pPr>
      <w:r>
        <w:rPr>
          <w:bCs/>
          <w:noProof/>
        </w:rPr>
        <w:br w:type="page"/>
      </w:r>
    </w:p>
    <w:p w14:paraId="4CEB5308" w14:textId="77777777" w:rsidR="004546DC" w:rsidRPr="003039DB" w:rsidRDefault="007B13C2" w:rsidP="007C010F">
      <w:pPr>
        <w:pStyle w:val="Heading2"/>
        <w:numPr>
          <w:ilvl w:val="0"/>
          <w:numId w:val="15"/>
        </w:numPr>
        <w:ind w:left="357" w:hanging="357"/>
      </w:pPr>
      <w:bookmarkStart w:id="3" w:name="_Toc119307680"/>
      <w:r>
        <w:lastRenderedPageBreak/>
        <w:t>P</w:t>
      </w:r>
      <w:r w:rsidR="005A6AB6" w:rsidRPr="003039DB">
        <w:t>urpose</w:t>
      </w:r>
      <w:bookmarkEnd w:id="3"/>
    </w:p>
    <w:p w14:paraId="4CEB5309" w14:textId="77777777" w:rsidR="007B13C2" w:rsidRPr="007B13C2" w:rsidRDefault="007B13C2" w:rsidP="00076C5E">
      <w:pPr>
        <w:widowControl w:val="0"/>
        <w:overflowPunct w:val="0"/>
        <w:autoSpaceDE w:val="0"/>
        <w:autoSpaceDN w:val="0"/>
        <w:adjustRightInd w:val="0"/>
        <w:textAlignment w:val="baseline"/>
        <w:rPr>
          <w:rFonts w:cs="Arial"/>
        </w:rPr>
      </w:pPr>
      <w:bookmarkStart w:id="4" w:name="_Headings,_sub_headings,"/>
      <w:bookmarkEnd w:id="4"/>
      <w:r w:rsidRPr="007B13C2">
        <w:rPr>
          <w:rFonts w:cs="Arial"/>
        </w:rPr>
        <w:t>The purpose of this guidance is to ensure awareness of Post Incident Procedures (PIPs) in support of the Police Scotland Armed Policing Policy and the Police Scotland Death or Serious Injury Following Police Contact (DSI FPC) Policy.</w:t>
      </w:r>
    </w:p>
    <w:p w14:paraId="4CEB530A" w14:textId="77777777" w:rsidR="007B13C2" w:rsidRDefault="007B13C2" w:rsidP="00076C5E">
      <w:pPr>
        <w:pStyle w:val="Heading2"/>
        <w:numPr>
          <w:ilvl w:val="0"/>
          <w:numId w:val="15"/>
        </w:numPr>
        <w:ind w:left="357" w:hanging="357"/>
      </w:pPr>
      <w:bookmarkStart w:id="5" w:name="_Toc119307681"/>
      <w:r>
        <w:t>Background</w:t>
      </w:r>
      <w:bookmarkEnd w:id="5"/>
    </w:p>
    <w:p w14:paraId="4CEB530B" w14:textId="77777777" w:rsidR="007B13C2" w:rsidRPr="007B13C2" w:rsidRDefault="007B13C2" w:rsidP="00076C5E">
      <w:pPr>
        <w:widowControl w:val="0"/>
        <w:overflowPunct w:val="0"/>
        <w:autoSpaceDE w:val="0"/>
        <w:autoSpaceDN w:val="0"/>
        <w:adjustRightInd w:val="0"/>
        <w:textAlignment w:val="baseline"/>
        <w:rPr>
          <w:rFonts w:cs="Arial"/>
        </w:rPr>
      </w:pPr>
      <w:r w:rsidRPr="007B13C2">
        <w:rPr>
          <w:rFonts w:cs="Arial"/>
        </w:rPr>
        <w:t>PIPs is a National College of Policing (CoP) Authorised Professional Practice (APP) process. PIPs are designed to balance the State’s legal obligation to independently investigate the Death or Serious Injury (DSI) of a person who has had contact with the Police,</w:t>
      </w:r>
      <w:r w:rsidR="00C70EF3">
        <w:rPr>
          <w:rFonts w:cs="Arial"/>
        </w:rPr>
        <w:t xml:space="preserve"> with the rights of the Officer/</w:t>
      </w:r>
      <w:r w:rsidRPr="007B13C2">
        <w:rPr>
          <w:rFonts w:cs="Arial"/>
        </w:rPr>
        <w:t xml:space="preserve">Staff involved. It is intended to facilitate a supportive, efficient enquiry that is in the interests of all. </w:t>
      </w:r>
    </w:p>
    <w:p w14:paraId="4CEB530C" w14:textId="77777777" w:rsidR="007B13C2" w:rsidRPr="007B13C2" w:rsidRDefault="007B13C2" w:rsidP="00076C5E">
      <w:pPr>
        <w:widowControl w:val="0"/>
        <w:overflowPunct w:val="0"/>
        <w:autoSpaceDE w:val="0"/>
        <w:autoSpaceDN w:val="0"/>
        <w:adjustRightInd w:val="0"/>
        <w:textAlignment w:val="baseline"/>
        <w:rPr>
          <w:rFonts w:cs="Arial"/>
        </w:rPr>
      </w:pPr>
      <w:r w:rsidRPr="007B13C2">
        <w:rPr>
          <w:rFonts w:cs="Arial"/>
        </w:rPr>
        <w:t xml:space="preserve">The decision to implement PIP is made and approved by </w:t>
      </w:r>
      <w:r w:rsidRPr="007B13C2">
        <w:rPr>
          <w:iCs/>
        </w:rPr>
        <w:t>Assistant Chief Constable (ACC) Professionalism &amp; Assurance or in their absence, the Head of Professional Standards Department (PSD)</w:t>
      </w:r>
      <w:r w:rsidRPr="007B13C2">
        <w:rPr>
          <w:rFonts w:cs="Arial"/>
        </w:rPr>
        <w:t>. The activation of PIP</w:t>
      </w:r>
      <w:r w:rsidR="00C70EF3">
        <w:rPr>
          <w:rFonts w:cs="Arial"/>
        </w:rPr>
        <w:t xml:space="preserve"> is facilitated through the PSD/</w:t>
      </w:r>
      <w:r w:rsidRPr="007B13C2">
        <w:rPr>
          <w:rFonts w:cs="Arial"/>
        </w:rPr>
        <w:t>PSD On-Call.</w:t>
      </w:r>
    </w:p>
    <w:p w14:paraId="4CEB530D" w14:textId="77777777" w:rsidR="007B13C2" w:rsidRPr="007B13C2" w:rsidRDefault="007B13C2" w:rsidP="00076C5E">
      <w:pPr>
        <w:widowControl w:val="0"/>
        <w:overflowPunct w:val="0"/>
        <w:autoSpaceDE w:val="0"/>
        <w:autoSpaceDN w:val="0"/>
        <w:adjustRightInd w:val="0"/>
        <w:textAlignment w:val="baseline"/>
        <w:rPr>
          <w:rFonts w:cs="Arial"/>
        </w:rPr>
      </w:pPr>
      <w:r w:rsidRPr="007B13C2">
        <w:rPr>
          <w:rFonts w:cs="Arial"/>
        </w:rPr>
        <w:t xml:space="preserve">PIP will be considered in all situations where, following contact with the police, a DSI occurs. </w:t>
      </w:r>
    </w:p>
    <w:p w14:paraId="4CEB530E" w14:textId="77777777" w:rsidR="007B13C2" w:rsidRDefault="007B13C2" w:rsidP="00076C5E">
      <w:pPr>
        <w:widowControl w:val="0"/>
        <w:overflowPunct w:val="0"/>
        <w:autoSpaceDE w:val="0"/>
        <w:autoSpaceDN w:val="0"/>
        <w:adjustRightInd w:val="0"/>
        <w:textAlignment w:val="baseline"/>
        <w:rPr>
          <w:rFonts w:cs="Arial"/>
        </w:rPr>
      </w:pPr>
      <w:r w:rsidRPr="007B13C2">
        <w:rPr>
          <w:rFonts w:cs="Arial"/>
        </w:rPr>
        <w:t>Additionally, PIP will be invoked in all situations where there has been a discharge of a weapon by the police (including those involving a conventional firearm, less lethal weapon or specialist munition), whether intentional or unintentional and which has or may have:</w:t>
      </w:r>
    </w:p>
    <w:p w14:paraId="4CEB530F" w14:textId="77777777" w:rsidR="007B13C2" w:rsidRDefault="007B13C2" w:rsidP="00076C5E">
      <w:pPr>
        <w:pStyle w:val="ListParagraph"/>
        <w:widowControl w:val="0"/>
        <w:numPr>
          <w:ilvl w:val="0"/>
          <w:numId w:val="28"/>
        </w:numPr>
        <w:overflowPunct w:val="0"/>
        <w:autoSpaceDE w:val="0"/>
        <w:autoSpaceDN w:val="0"/>
        <w:adjustRightInd w:val="0"/>
        <w:ind w:left="714" w:hanging="357"/>
        <w:textAlignment w:val="baseline"/>
        <w:rPr>
          <w:rFonts w:cs="Arial"/>
        </w:rPr>
      </w:pPr>
      <w:r>
        <w:rPr>
          <w:rFonts w:cs="Arial"/>
        </w:rPr>
        <w:t>resulted in a DSI</w:t>
      </w:r>
    </w:p>
    <w:p w14:paraId="4CEB5310" w14:textId="77777777" w:rsidR="007B13C2" w:rsidRDefault="007B13C2" w:rsidP="00076C5E">
      <w:pPr>
        <w:pStyle w:val="ListParagraph"/>
        <w:widowControl w:val="0"/>
        <w:numPr>
          <w:ilvl w:val="0"/>
          <w:numId w:val="28"/>
        </w:numPr>
        <w:overflowPunct w:val="0"/>
        <w:autoSpaceDE w:val="0"/>
        <w:autoSpaceDN w:val="0"/>
        <w:adjustRightInd w:val="0"/>
        <w:ind w:left="714" w:hanging="357"/>
        <w:textAlignment w:val="baseline"/>
        <w:rPr>
          <w:rFonts w:cs="Arial"/>
        </w:rPr>
      </w:pPr>
      <w:r>
        <w:rPr>
          <w:rFonts w:cs="Arial"/>
        </w:rPr>
        <w:t>revealed failings in command</w:t>
      </w:r>
    </w:p>
    <w:p w14:paraId="4CEB5311" w14:textId="77777777" w:rsidR="007B13C2" w:rsidRDefault="007B13C2" w:rsidP="00076C5E">
      <w:pPr>
        <w:pStyle w:val="ListParagraph"/>
        <w:widowControl w:val="0"/>
        <w:numPr>
          <w:ilvl w:val="0"/>
          <w:numId w:val="28"/>
        </w:numPr>
        <w:overflowPunct w:val="0"/>
        <w:autoSpaceDE w:val="0"/>
        <w:autoSpaceDN w:val="0"/>
        <w:adjustRightInd w:val="0"/>
        <w:ind w:left="714" w:hanging="357"/>
        <w:textAlignment w:val="baseline"/>
        <w:rPr>
          <w:rFonts w:cs="Arial"/>
        </w:rPr>
      </w:pPr>
      <w:r>
        <w:rPr>
          <w:rFonts w:cs="Arial"/>
        </w:rPr>
        <w:t>caused danger to officers or the public</w:t>
      </w:r>
    </w:p>
    <w:p w14:paraId="4CEB5312" w14:textId="77777777" w:rsidR="00464FD2" w:rsidRPr="00464FD2" w:rsidRDefault="00464FD2" w:rsidP="00076C5E">
      <w:pPr>
        <w:widowControl w:val="0"/>
        <w:overflowPunct w:val="0"/>
        <w:autoSpaceDE w:val="0"/>
        <w:autoSpaceDN w:val="0"/>
        <w:adjustRightInd w:val="0"/>
        <w:textAlignment w:val="baseline"/>
        <w:rPr>
          <w:rFonts w:cs="Arial"/>
        </w:rPr>
      </w:pPr>
      <w:r w:rsidRPr="00464FD2">
        <w:rPr>
          <w:rFonts w:cs="Arial"/>
        </w:rPr>
        <w:t xml:space="preserve">The impact, nature and severity of the incident will determine the requirement for a PIP. The underlying principle of PIP is to balance the welfare needs of the officers and staff involved with the needs of the investigation. </w:t>
      </w:r>
    </w:p>
    <w:p w14:paraId="4CEB5313" w14:textId="77777777" w:rsidR="00464FD2" w:rsidRPr="00464FD2" w:rsidRDefault="00464FD2" w:rsidP="00076C5E">
      <w:pPr>
        <w:widowControl w:val="0"/>
        <w:overflowPunct w:val="0"/>
        <w:autoSpaceDE w:val="0"/>
        <w:autoSpaceDN w:val="0"/>
        <w:adjustRightInd w:val="0"/>
        <w:textAlignment w:val="baseline"/>
        <w:rPr>
          <w:rFonts w:cs="Arial"/>
        </w:rPr>
      </w:pPr>
      <w:r w:rsidRPr="00464FD2">
        <w:rPr>
          <w:rFonts w:cs="Arial"/>
        </w:rPr>
        <w:t xml:space="preserve">Where there is an allegation or indication that direct or indirect police contact may have caused or contributed to a DSI, there is a statutory requirement for Police Scotland to refer the incident to the Police Investigations &amp; Review Commissioner </w:t>
      </w:r>
      <w:r w:rsidRPr="00464FD2">
        <w:rPr>
          <w:rFonts w:cs="Arial"/>
        </w:rPr>
        <w:lastRenderedPageBreak/>
        <w:t>(PIRC). Where there has been a death in police custody, or an allegation of criminality against a police officer or member of police staff, the Crown Office &amp; Procurator Fiscal Service (COPFS) may direct PIRC to investigate. Any referral to COPFS or PIRC will be facilitated through the PSD</w:t>
      </w:r>
      <w:r w:rsidR="00C70EF3">
        <w:rPr>
          <w:rFonts w:cs="Arial"/>
        </w:rPr>
        <w:t>/</w:t>
      </w:r>
      <w:r w:rsidRPr="00464FD2">
        <w:rPr>
          <w:rFonts w:cs="Arial"/>
        </w:rPr>
        <w:t>PSD On-Call.</w:t>
      </w:r>
    </w:p>
    <w:p w14:paraId="4CEB5314" w14:textId="77777777" w:rsidR="00464FD2" w:rsidRDefault="00464FD2" w:rsidP="00076C5E">
      <w:pPr>
        <w:widowControl w:val="0"/>
        <w:overflowPunct w:val="0"/>
        <w:autoSpaceDE w:val="0"/>
        <w:autoSpaceDN w:val="0"/>
        <w:adjustRightInd w:val="0"/>
        <w:textAlignment w:val="baseline"/>
        <w:rPr>
          <w:rFonts w:cs="Arial"/>
        </w:rPr>
      </w:pPr>
      <w:r w:rsidRPr="00464FD2">
        <w:rPr>
          <w:rFonts w:cs="Arial"/>
        </w:rPr>
        <w:t>Situations which do not require investigation by either COPFS or PIR</w:t>
      </w:r>
      <w:r>
        <w:rPr>
          <w:rFonts w:cs="Arial"/>
        </w:rPr>
        <w:t xml:space="preserve">C, may be investigated by PSD. </w:t>
      </w:r>
    </w:p>
    <w:p w14:paraId="4CEB5315" w14:textId="77777777" w:rsidR="00464FD2" w:rsidRDefault="00464FD2" w:rsidP="00076C5E">
      <w:pPr>
        <w:pStyle w:val="Heading2"/>
        <w:numPr>
          <w:ilvl w:val="0"/>
          <w:numId w:val="15"/>
        </w:numPr>
        <w:ind w:left="357" w:hanging="357"/>
      </w:pPr>
      <w:bookmarkStart w:id="6" w:name="_Toc119307682"/>
      <w:r>
        <w:t>Post Incident Procedures</w:t>
      </w:r>
      <w:bookmarkEnd w:id="6"/>
    </w:p>
    <w:p w14:paraId="4CEB5316" w14:textId="77777777" w:rsidR="00464FD2" w:rsidRPr="00AC5AD6" w:rsidRDefault="00464FD2" w:rsidP="00076C5E">
      <w:r w:rsidRPr="00C609A7">
        <w:t>When approval has been given for PIP, it is considered good practice to convene a Gold Group at the earliest possible stage of PIP being invoked. This ensures a clear governance structure from the outset</w:t>
      </w:r>
      <w:r w:rsidR="00C70EF3">
        <w:t xml:space="preserve"> and appropriate representation/</w:t>
      </w:r>
      <w:r w:rsidRPr="00C609A7">
        <w:t>inv</w:t>
      </w:r>
      <w:r>
        <w:t>olvement from key stakeholders.</w:t>
      </w:r>
    </w:p>
    <w:p w14:paraId="4CEB5317" w14:textId="77777777" w:rsidR="00464FD2" w:rsidRDefault="00464FD2" w:rsidP="00076C5E">
      <w:r w:rsidRPr="00C609A7">
        <w:t>There are a number of key roles relative to PIP including:</w:t>
      </w:r>
    </w:p>
    <w:p w14:paraId="4CEB5318" w14:textId="77777777" w:rsidR="00464FD2" w:rsidRDefault="00464FD2" w:rsidP="00076C5E">
      <w:pPr>
        <w:pStyle w:val="ListParagraph"/>
        <w:numPr>
          <w:ilvl w:val="0"/>
          <w:numId w:val="29"/>
        </w:numPr>
        <w:ind w:left="714" w:hanging="357"/>
      </w:pPr>
      <w:r>
        <w:t>Initial Investigating officer (IIO)</w:t>
      </w:r>
    </w:p>
    <w:p w14:paraId="4CEB5319" w14:textId="77777777" w:rsidR="00464FD2" w:rsidRDefault="00464FD2" w:rsidP="00076C5E">
      <w:pPr>
        <w:pStyle w:val="ListParagraph"/>
        <w:numPr>
          <w:ilvl w:val="0"/>
          <w:numId w:val="29"/>
        </w:numPr>
        <w:ind w:left="714" w:hanging="357"/>
      </w:pPr>
      <w:r>
        <w:t>Representatives from COPFS, Police Service of Scotland (PSOS) and PIRC</w:t>
      </w:r>
    </w:p>
    <w:p w14:paraId="4CEB531A" w14:textId="77777777" w:rsidR="00464FD2" w:rsidRDefault="00464FD2" w:rsidP="00076C5E">
      <w:pPr>
        <w:pStyle w:val="ListParagraph"/>
        <w:numPr>
          <w:ilvl w:val="0"/>
          <w:numId w:val="29"/>
        </w:numPr>
        <w:ind w:left="714" w:hanging="357"/>
      </w:pPr>
      <w:r>
        <w:t>The Police Incident Officer (PIO), where relevant</w:t>
      </w:r>
    </w:p>
    <w:p w14:paraId="4CEB531B" w14:textId="77777777" w:rsidR="00464FD2" w:rsidRDefault="00464FD2" w:rsidP="00076C5E">
      <w:pPr>
        <w:pStyle w:val="ListParagraph"/>
        <w:numPr>
          <w:ilvl w:val="0"/>
          <w:numId w:val="29"/>
        </w:numPr>
        <w:ind w:left="714" w:hanging="357"/>
      </w:pPr>
      <w:r>
        <w:t>The Force Duty Officers (FDO)</w:t>
      </w:r>
    </w:p>
    <w:p w14:paraId="4CEB531C" w14:textId="77777777" w:rsidR="00464FD2" w:rsidRDefault="00464FD2" w:rsidP="00076C5E">
      <w:pPr>
        <w:pStyle w:val="ListParagraph"/>
        <w:numPr>
          <w:ilvl w:val="0"/>
          <w:numId w:val="29"/>
        </w:numPr>
        <w:ind w:left="714" w:hanging="357"/>
      </w:pPr>
      <w:r>
        <w:t>The Chief Officer or delegated senior officer</w:t>
      </w:r>
    </w:p>
    <w:p w14:paraId="4CEB531D" w14:textId="77777777" w:rsidR="00464FD2" w:rsidRDefault="00464FD2" w:rsidP="00076C5E">
      <w:pPr>
        <w:pStyle w:val="ListParagraph"/>
        <w:numPr>
          <w:ilvl w:val="0"/>
          <w:numId w:val="29"/>
        </w:numPr>
        <w:ind w:left="714" w:hanging="357"/>
      </w:pPr>
      <w:r>
        <w:t>Post Incident Manager (PIM)</w:t>
      </w:r>
    </w:p>
    <w:p w14:paraId="4CEB531E" w14:textId="77777777" w:rsidR="00464FD2" w:rsidRDefault="00464FD2" w:rsidP="00076C5E">
      <w:pPr>
        <w:pStyle w:val="ListParagraph"/>
        <w:numPr>
          <w:ilvl w:val="0"/>
          <w:numId w:val="29"/>
        </w:numPr>
        <w:ind w:left="714" w:hanging="357"/>
      </w:pPr>
      <w:r>
        <w:t>Appointed Officer (AO)</w:t>
      </w:r>
    </w:p>
    <w:p w14:paraId="4CEB531F" w14:textId="77777777" w:rsidR="00464FD2" w:rsidRDefault="00464FD2" w:rsidP="00076C5E">
      <w:pPr>
        <w:pStyle w:val="ListParagraph"/>
        <w:numPr>
          <w:ilvl w:val="0"/>
          <w:numId w:val="29"/>
        </w:numPr>
        <w:ind w:left="714" w:hanging="357"/>
      </w:pPr>
      <w:r>
        <w:t>Key Police Witness (KPW)</w:t>
      </w:r>
      <w:r w:rsidR="00C24A38">
        <w:t>.</w:t>
      </w:r>
    </w:p>
    <w:p w14:paraId="4CEB5320" w14:textId="77777777" w:rsidR="00464FD2" w:rsidRDefault="00464FD2" w:rsidP="00076C5E">
      <w:r w:rsidRPr="00C609A7">
        <w:t xml:space="preserve">The responsibilities of those involved in the PIP, including strategic, tactical, and operational firearms commanders, are outlined in the relevant </w:t>
      </w:r>
      <w:r w:rsidRPr="00E1371D">
        <w:t>CoP APP</w:t>
      </w:r>
      <w:r w:rsidRPr="00C609A7">
        <w:t xml:space="preserve">. Further guidance is also contained within the </w:t>
      </w:r>
      <w:r>
        <w:t xml:space="preserve">PSoS </w:t>
      </w:r>
      <w:r w:rsidRPr="00E1371D">
        <w:t>Armed Policing Operations SOP</w:t>
      </w:r>
      <w:r>
        <w:t>,</w:t>
      </w:r>
      <w:r w:rsidRPr="00C609A7">
        <w:t xml:space="preserve"> </w:t>
      </w:r>
      <w:r w:rsidRPr="00E1371D">
        <w:t>Armed Policing Training SOP</w:t>
      </w:r>
      <w:r>
        <w:t xml:space="preserve"> and the </w:t>
      </w:r>
      <w:r w:rsidRPr="00E1371D">
        <w:t>Post Incident Procedures Aide Memoire</w:t>
      </w:r>
      <w:r>
        <w:t>.</w:t>
      </w:r>
    </w:p>
    <w:p w14:paraId="4CEB5321" w14:textId="77777777" w:rsidR="00464FD2" w:rsidRDefault="00464FD2" w:rsidP="00076C5E">
      <w:r>
        <w:t xml:space="preserve">The </w:t>
      </w:r>
      <w:r w:rsidRPr="00E1371D">
        <w:t>Police Scotland PIP Operational Toolkit</w:t>
      </w:r>
      <w:r>
        <w:t xml:space="preserve"> details key information, roles and responsibilities covering:</w:t>
      </w:r>
    </w:p>
    <w:p w14:paraId="4CEB5322" w14:textId="77777777" w:rsidR="00464FD2" w:rsidRDefault="00464FD2" w:rsidP="00076C5E">
      <w:pPr>
        <w:pStyle w:val="ListParagraph"/>
        <w:numPr>
          <w:ilvl w:val="0"/>
          <w:numId w:val="30"/>
        </w:numPr>
        <w:ind w:hanging="357"/>
      </w:pPr>
      <w:r>
        <w:t>Independent Investigative Authorities (IIAs)</w:t>
      </w:r>
    </w:p>
    <w:p w14:paraId="4CEB5323" w14:textId="77777777" w:rsidR="00464FD2" w:rsidRDefault="00464FD2" w:rsidP="00076C5E">
      <w:pPr>
        <w:pStyle w:val="ListParagraph"/>
        <w:numPr>
          <w:ilvl w:val="0"/>
          <w:numId w:val="30"/>
        </w:numPr>
        <w:ind w:hanging="357"/>
      </w:pPr>
      <w:r>
        <w:t>Police Federation/Staff Associations/Legal Representation</w:t>
      </w:r>
    </w:p>
    <w:p w14:paraId="4CEB5324" w14:textId="77777777" w:rsidR="00464FD2" w:rsidRDefault="00464FD2" w:rsidP="00076C5E">
      <w:pPr>
        <w:pStyle w:val="ListParagraph"/>
        <w:numPr>
          <w:ilvl w:val="0"/>
          <w:numId w:val="30"/>
        </w:numPr>
        <w:ind w:hanging="357"/>
      </w:pPr>
      <w:r>
        <w:t>Conduct/Criminality</w:t>
      </w:r>
    </w:p>
    <w:p w14:paraId="4CEB5325" w14:textId="77777777" w:rsidR="00464FD2" w:rsidRDefault="00464FD2" w:rsidP="00076C5E">
      <w:pPr>
        <w:pStyle w:val="ListParagraph"/>
        <w:numPr>
          <w:ilvl w:val="0"/>
          <w:numId w:val="30"/>
        </w:numPr>
        <w:ind w:hanging="357"/>
      </w:pPr>
      <w:r>
        <w:lastRenderedPageBreak/>
        <w:t>Individual Responsibilities:</w:t>
      </w:r>
    </w:p>
    <w:p w14:paraId="4CEB5326" w14:textId="77777777" w:rsidR="00464FD2" w:rsidRDefault="008E15BF" w:rsidP="00076C5E">
      <w:pPr>
        <w:pStyle w:val="ListParagraph"/>
        <w:numPr>
          <w:ilvl w:val="0"/>
          <w:numId w:val="31"/>
        </w:numPr>
        <w:ind w:hanging="357"/>
      </w:pPr>
      <w:r>
        <w:t>On Call Professional Standards Department</w:t>
      </w:r>
    </w:p>
    <w:p w14:paraId="4CEB5327" w14:textId="77777777" w:rsidR="008E15BF" w:rsidRDefault="008E15BF" w:rsidP="00076C5E">
      <w:pPr>
        <w:pStyle w:val="ListParagraph"/>
        <w:numPr>
          <w:ilvl w:val="0"/>
          <w:numId w:val="31"/>
        </w:numPr>
        <w:ind w:hanging="357"/>
      </w:pPr>
      <w:r>
        <w:t>Post Incident Managers (PIM)</w:t>
      </w:r>
    </w:p>
    <w:p w14:paraId="4CEB5328" w14:textId="77777777" w:rsidR="008E15BF" w:rsidRDefault="008E15BF" w:rsidP="00076C5E">
      <w:pPr>
        <w:pStyle w:val="ListParagraph"/>
        <w:numPr>
          <w:ilvl w:val="0"/>
          <w:numId w:val="31"/>
        </w:numPr>
        <w:ind w:hanging="357"/>
      </w:pPr>
      <w:r>
        <w:t>Key Police Witnesses (KPW)</w:t>
      </w:r>
    </w:p>
    <w:p w14:paraId="4CEB5329" w14:textId="77777777" w:rsidR="008E15BF" w:rsidRDefault="008E15BF" w:rsidP="00076C5E">
      <w:pPr>
        <w:pStyle w:val="ListParagraph"/>
        <w:numPr>
          <w:ilvl w:val="0"/>
          <w:numId w:val="31"/>
        </w:numPr>
        <w:ind w:hanging="357"/>
      </w:pPr>
      <w:r>
        <w:t>Supervisors at scene</w:t>
      </w:r>
    </w:p>
    <w:p w14:paraId="4CEB532A" w14:textId="77777777" w:rsidR="008E15BF" w:rsidRDefault="008E15BF" w:rsidP="00076C5E">
      <w:pPr>
        <w:pStyle w:val="ListParagraph"/>
        <w:numPr>
          <w:ilvl w:val="0"/>
          <w:numId w:val="31"/>
        </w:numPr>
        <w:ind w:hanging="357"/>
      </w:pPr>
      <w:r>
        <w:t>Appointed Officer (AO)</w:t>
      </w:r>
    </w:p>
    <w:p w14:paraId="4CEB532B" w14:textId="77777777" w:rsidR="008E15BF" w:rsidRDefault="008E15BF" w:rsidP="00076C5E">
      <w:pPr>
        <w:pStyle w:val="ListParagraph"/>
        <w:numPr>
          <w:ilvl w:val="0"/>
          <w:numId w:val="31"/>
        </w:numPr>
        <w:ind w:hanging="357"/>
      </w:pPr>
      <w:r>
        <w:t>Duty Officer Contact, Command &amp; Control.</w:t>
      </w:r>
    </w:p>
    <w:p w14:paraId="4CEB532C" w14:textId="77777777" w:rsidR="008E15BF" w:rsidRDefault="008E15BF" w:rsidP="00076C5E">
      <w:pPr>
        <w:pStyle w:val="Heading2"/>
        <w:numPr>
          <w:ilvl w:val="0"/>
          <w:numId w:val="15"/>
        </w:numPr>
        <w:ind w:left="357" w:hanging="357"/>
      </w:pPr>
      <w:bookmarkStart w:id="7" w:name="_Toc119307683"/>
      <w:r>
        <w:t>The Post Incident Procedures Suite</w:t>
      </w:r>
      <w:bookmarkEnd w:id="7"/>
    </w:p>
    <w:p w14:paraId="4CEB532D" w14:textId="77777777" w:rsidR="008E15BF" w:rsidRDefault="008E15BF" w:rsidP="00076C5E">
      <w:r w:rsidRPr="00C609A7">
        <w:t xml:space="preserve">Police Scotland has several designated </w:t>
      </w:r>
      <w:r>
        <w:t>PIP</w:t>
      </w:r>
      <w:r w:rsidRPr="00C609A7">
        <w:t xml:space="preserve"> </w:t>
      </w:r>
      <w:r>
        <w:t>s</w:t>
      </w:r>
      <w:r w:rsidRPr="00C609A7">
        <w:t xml:space="preserve">uites </w:t>
      </w:r>
      <w:r>
        <w:t>which are suitably equipped.</w:t>
      </w:r>
      <w:r w:rsidRPr="00C609A7">
        <w:t xml:space="preserve"> It will be the responsibility of the Post Incident Manage</w:t>
      </w:r>
      <w:r>
        <w:t>r</w:t>
      </w:r>
      <w:r w:rsidRPr="00C609A7">
        <w:t xml:space="preserve"> (PIM) to prepare the suite for the arrival of the </w:t>
      </w:r>
      <w:r>
        <w:t>KPW</w:t>
      </w:r>
      <w:r w:rsidRPr="00C609A7">
        <w:t>.</w:t>
      </w:r>
    </w:p>
    <w:p w14:paraId="4CEB532E" w14:textId="77777777" w:rsidR="008E15BF" w:rsidRDefault="008E15BF" w:rsidP="00076C5E">
      <w:r w:rsidRPr="00C609A7">
        <w:t>Given the geographical challenges and remoteness of some areas of Scotland</w:t>
      </w:r>
      <w:r>
        <w:t>,</w:t>
      </w:r>
      <w:r w:rsidRPr="00C609A7">
        <w:t xml:space="preserve"> it may be more appropriate to utilise a local police station as a </w:t>
      </w:r>
      <w:r>
        <w:t>PIP s</w:t>
      </w:r>
      <w:r w:rsidRPr="00C609A7">
        <w:t xml:space="preserve">uite. This decision </w:t>
      </w:r>
      <w:r>
        <w:t>will be made by</w:t>
      </w:r>
      <w:r w:rsidRPr="00C609A7">
        <w:t xml:space="preserve"> the PIM</w:t>
      </w:r>
      <w:r>
        <w:t>,</w:t>
      </w:r>
      <w:r w:rsidRPr="00C609A7">
        <w:t xml:space="preserve"> with consideration being given to:</w:t>
      </w:r>
    </w:p>
    <w:p w14:paraId="4CEB532F" w14:textId="77777777" w:rsidR="008E15BF" w:rsidRDefault="008E15BF" w:rsidP="00076C5E">
      <w:pPr>
        <w:pStyle w:val="ListParagraph"/>
        <w:numPr>
          <w:ilvl w:val="0"/>
          <w:numId w:val="32"/>
        </w:numPr>
        <w:ind w:left="714" w:hanging="357"/>
      </w:pPr>
      <w:r>
        <w:t>Site security</w:t>
      </w:r>
    </w:p>
    <w:p w14:paraId="4CEB5330" w14:textId="77777777" w:rsidR="008E15BF" w:rsidRDefault="008E15BF" w:rsidP="00076C5E">
      <w:pPr>
        <w:pStyle w:val="ListParagraph"/>
        <w:numPr>
          <w:ilvl w:val="0"/>
          <w:numId w:val="32"/>
        </w:numPr>
        <w:ind w:left="714" w:hanging="357"/>
      </w:pPr>
      <w:r>
        <w:t>Equality, Diversity and Inclusion</w:t>
      </w:r>
    </w:p>
    <w:p w14:paraId="4CEB5331" w14:textId="77777777" w:rsidR="008E15BF" w:rsidRDefault="008E15BF" w:rsidP="00076C5E">
      <w:pPr>
        <w:pStyle w:val="ListParagraph"/>
        <w:numPr>
          <w:ilvl w:val="0"/>
          <w:numId w:val="32"/>
        </w:numPr>
        <w:ind w:left="714" w:hanging="357"/>
      </w:pPr>
      <w:r>
        <w:t>Availability of essential equipment.</w:t>
      </w:r>
    </w:p>
    <w:p w14:paraId="4CEB5332" w14:textId="77777777" w:rsidR="008E15BF" w:rsidRDefault="008E15BF" w:rsidP="00076C5E">
      <w:r>
        <w:t>PIP</w:t>
      </w:r>
      <w:r w:rsidRPr="000265A5">
        <w:t xml:space="preserve"> equipment boxes are located at each </w:t>
      </w:r>
      <w:r>
        <w:t>PIP</w:t>
      </w:r>
      <w:r w:rsidRPr="000265A5">
        <w:t xml:space="preserve"> </w:t>
      </w:r>
      <w:r>
        <w:t>s</w:t>
      </w:r>
      <w:r w:rsidRPr="000265A5">
        <w:t xml:space="preserve">uite and can be </w:t>
      </w:r>
      <w:r w:rsidRPr="00A95E38">
        <w:t xml:space="preserve">transported to another location if required. </w:t>
      </w:r>
      <w:r>
        <w:t>PIP l</w:t>
      </w:r>
      <w:r w:rsidRPr="00A95E38">
        <w:t xml:space="preserve">ocations are detailed in </w:t>
      </w:r>
      <w:r w:rsidRPr="00E1371D">
        <w:t>Appendix ‘A’</w:t>
      </w:r>
      <w:r w:rsidRPr="00A95E38">
        <w:t xml:space="preserve"> of this Guidance.</w:t>
      </w:r>
    </w:p>
    <w:p w14:paraId="4CEB5333" w14:textId="77777777" w:rsidR="008E15BF" w:rsidRDefault="008E15BF" w:rsidP="00076C5E">
      <w:pPr>
        <w:pStyle w:val="Heading2"/>
        <w:numPr>
          <w:ilvl w:val="0"/>
          <w:numId w:val="15"/>
        </w:numPr>
        <w:ind w:left="357" w:hanging="357"/>
      </w:pPr>
      <w:bookmarkStart w:id="8" w:name="_Toc119307684"/>
      <w:r>
        <w:t>Key Police Witnesses</w:t>
      </w:r>
      <w:bookmarkEnd w:id="8"/>
    </w:p>
    <w:p w14:paraId="4CEB5334" w14:textId="77777777" w:rsidR="008E15BF" w:rsidRDefault="008E15BF" w:rsidP="00076C5E">
      <w:r w:rsidRPr="00F6721E">
        <w:t>Key Police Witnesses (KPW) are police officers or staff who can give direct evidence of the DSI or the circumstances leading to it, or to the discharge of firea</w:t>
      </w:r>
      <w:r>
        <w:t>rm(s) or less lethal weapon(s).</w:t>
      </w:r>
      <w:r w:rsidRPr="00F6721E">
        <w:t xml:space="preserve"> This definition is flexible and must be interpreted according to the particular circumstances.</w:t>
      </w:r>
      <w:r>
        <w:t xml:space="preserve"> </w:t>
      </w:r>
    </w:p>
    <w:p w14:paraId="4CEB5335" w14:textId="77777777" w:rsidR="008E15BF" w:rsidRDefault="008E15BF" w:rsidP="00076C5E">
      <w:pPr>
        <w:pStyle w:val="Heading3"/>
      </w:pPr>
      <w:bookmarkStart w:id="9" w:name="_Toc119307685"/>
      <w:r>
        <w:lastRenderedPageBreak/>
        <w:t>Protected Identify of Officers/Staff</w:t>
      </w:r>
      <w:bookmarkEnd w:id="9"/>
    </w:p>
    <w:p w14:paraId="4CEB5336" w14:textId="77777777" w:rsidR="008E15BF" w:rsidRDefault="008E15BF" w:rsidP="00076C5E">
      <w:r w:rsidRPr="000265A5">
        <w:t xml:space="preserve">Immediate consideration </w:t>
      </w:r>
      <w:r>
        <w:t>should</w:t>
      </w:r>
      <w:r w:rsidRPr="000265A5">
        <w:t xml:space="preserve"> to be given to</w:t>
      </w:r>
      <w:r>
        <w:t xml:space="preserve"> the protection of identity of o</w:t>
      </w:r>
      <w:r w:rsidRPr="000265A5">
        <w:t>fficers</w:t>
      </w:r>
      <w:r w:rsidR="00076C5E">
        <w:t>/</w:t>
      </w:r>
      <w:r w:rsidRPr="000265A5">
        <w:t xml:space="preserve">staff for any PIP activation. This is to safeguard the </w:t>
      </w:r>
      <w:r>
        <w:t>o</w:t>
      </w:r>
      <w:r w:rsidR="00076C5E">
        <w:t>fficers/</w:t>
      </w:r>
      <w:r w:rsidRPr="000265A5">
        <w:t>staff and their families.</w:t>
      </w:r>
    </w:p>
    <w:p w14:paraId="4CEB5337" w14:textId="77777777" w:rsidR="008E15BF" w:rsidRDefault="008E15BF" w:rsidP="00076C5E">
      <w:r w:rsidRPr="000265A5">
        <w:t xml:space="preserve">For those identified as </w:t>
      </w:r>
      <w:r>
        <w:t>KPWs</w:t>
      </w:r>
      <w:r w:rsidRPr="000265A5">
        <w:t xml:space="preserve">, </w:t>
      </w:r>
      <w:r>
        <w:t>consideration should be given but not limited to</w:t>
      </w:r>
      <w:r w:rsidRPr="000265A5">
        <w:t>:</w:t>
      </w:r>
    </w:p>
    <w:p w14:paraId="4CEB5338" w14:textId="77777777" w:rsidR="008E15BF" w:rsidRDefault="008E15BF" w:rsidP="00076C5E">
      <w:pPr>
        <w:pStyle w:val="ListParagraph"/>
        <w:numPr>
          <w:ilvl w:val="0"/>
          <w:numId w:val="33"/>
        </w:numPr>
        <w:ind w:left="714" w:hanging="357"/>
      </w:pPr>
      <w:r>
        <w:t>Pseudonym allocation</w:t>
      </w:r>
    </w:p>
    <w:p w14:paraId="4CEB5339" w14:textId="77777777" w:rsidR="008E15BF" w:rsidRDefault="008E15BF" w:rsidP="00076C5E">
      <w:pPr>
        <w:pStyle w:val="ListParagraph"/>
        <w:numPr>
          <w:ilvl w:val="0"/>
          <w:numId w:val="33"/>
        </w:numPr>
        <w:ind w:left="714" w:hanging="357"/>
      </w:pPr>
      <w:r>
        <w:t>Restriction of STORM incident(s)</w:t>
      </w:r>
    </w:p>
    <w:p w14:paraId="4CEB533A" w14:textId="77777777" w:rsidR="008E15BF" w:rsidRDefault="008E15BF" w:rsidP="00076C5E">
      <w:pPr>
        <w:pStyle w:val="ListParagraph"/>
        <w:numPr>
          <w:ilvl w:val="0"/>
          <w:numId w:val="33"/>
        </w:numPr>
        <w:ind w:left="714" w:hanging="357"/>
      </w:pPr>
      <w:r>
        <w:t>Use of pseudonym on all documents/systems</w:t>
      </w:r>
    </w:p>
    <w:p w14:paraId="4CEB533B" w14:textId="77777777" w:rsidR="008E15BF" w:rsidRDefault="008E15BF" w:rsidP="00076C5E">
      <w:pPr>
        <w:pStyle w:val="ListParagraph"/>
        <w:numPr>
          <w:ilvl w:val="0"/>
          <w:numId w:val="33"/>
        </w:numPr>
        <w:ind w:left="714" w:hanging="357"/>
      </w:pPr>
      <w:r>
        <w:t xml:space="preserve">Limited access to the Post Incident Suite/site security </w:t>
      </w:r>
    </w:p>
    <w:p w14:paraId="4CEB533C" w14:textId="77777777" w:rsidR="008E15BF" w:rsidRDefault="008E15BF" w:rsidP="00076C5E">
      <w:pPr>
        <w:pStyle w:val="ListParagraph"/>
        <w:numPr>
          <w:ilvl w:val="0"/>
          <w:numId w:val="33"/>
        </w:numPr>
        <w:ind w:left="714" w:hanging="357"/>
      </w:pPr>
      <w:r>
        <w:t>Develop protected identity strategy with IIO/SIO/PF/PIRC</w:t>
      </w:r>
    </w:p>
    <w:p w14:paraId="4CEB533D" w14:textId="77777777" w:rsidR="008E15BF" w:rsidRDefault="008E15BF" w:rsidP="00076C5E">
      <w:pPr>
        <w:pStyle w:val="ListParagraph"/>
        <w:numPr>
          <w:ilvl w:val="0"/>
          <w:numId w:val="33"/>
        </w:numPr>
        <w:ind w:left="714" w:hanging="357"/>
      </w:pPr>
      <w:r>
        <w:t>KPW and their family’s use of social media</w:t>
      </w:r>
    </w:p>
    <w:p w14:paraId="4CEB533E" w14:textId="77777777" w:rsidR="008E15BF" w:rsidRDefault="008E15BF" w:rsidP="00076C5E">
      <w:pPr>
        <w:pStyle w:val="ListParagraph"/>
        <w:numPr>
          <w:ilvl w:val="0"/>
          <w:numId w:val="33"/>
        </w:numPr>
        <w:ind w:left="714" w:hanging="357"/>
      </w:pPr>
      <w:r>
        <w:t>Inappropriate conferring.</w:t>
      </w:r>
    </w:p>
    <w:p w14:paraId="4CEB533F" w14:textId="77777777" w:rsidR="0078335C" w:rsidRDefault="0078335C" w:rsidP="00076C5E">
      <w:r>
        <w:t>Whilst c</w:t>
      </w:r>
      <w:r w:rsidRPr="000265A5">
        <w:t>onsideration will be given to special measures (e.g. use of pseudonyms)</w:t>
      </w:r>
      <w:r>
        <w:t>,</w:t>
      </w:r>
      <w:r w:rsidRPr="000265A5">
        <w:t xml:space="preserve"> anonymity cannot be guaranteed should the incident progress to legal proceedings </w:t>
      </w:r>
      <w:r>
        <w:t>and</w:t>
      </w:r>
      <w:r w:rsidRPr="000265A5">
        <w:t xml:space="preserve"> a case is heard in public. Police Scotland will </w:t>
      </w:r>
      <w:r>
        <w:t>fully consider</w:t>
      </w:r>
      <w:r w:rsidRPr="000265A5">
        <w:t xml:space="preserve"> any application for special measures. The following may support such applications:</w:t>
      </w:r>
    </w:p>
    <w:p w14:paraId="4CEB5340" w14:textId="77777777" w:rsidR="0078335C" w:rsidRDefault="0078335C" w:rsidP="00076C5E">
      <w:pPr>
        <w:pStyle w:val="ListParagraph"/>
        <w:numPr>
          <w:ilvl w:val="0"/>
          <w:numId w:val="34"/>
        </w:numPr>
        <w:ind w:left="714" w:hanging="357"/>
      </w:pPr>
      <w:r>
        <w:t>Specific intelligence of threat, risk or harm to KPWs or their family</w:t>
      </w:r>
    </w:p>
    <w:p w14:paraId="4CEB5341" w14:textId="77777777" w:rsidR="0078335C" w:rsidRDefault="0078335C" w:rsidP="00076C5E">
      <w:pPr>
        <w:pStyle w:val="ListParagraph"/>
        <w:numPr>
          <w:ilvl w:val="0"/>
          <w:numId w:val="34"/>
        </w:numPr>
        <w:ind w:left="714" w:hanging="357"/>
      </w:pPr>
      <w:r>
        <w:t xml:space="preserve">Local and national media attention </w:t>
      </w:r>
    </w:p>
    <w:p w14:paraId="4CEB5342" w14:textId="77777777" w:rsidR="0078335C" w:rsidRDefault="0078335C" w:rsidP="00076C5E">
      <w:pPr>
        <w:pStyle w:val="ListParagraph"/>
        <w:numPr>
          <w:ilvl w:val="0"/>
          <w:numId w:val="34"/>
        </w:numPr>
        <w:ind w:left="714" w:hanging="357"/>
      </w:pPr>
      <w:r>
        <w:t>Concerns over potential reprisal attacks</w:t>
      </w:r>
    </w:p>
    <w:p w14:paraId="4CEB5343" w14:textId="77777777" w:rsidR="0078335C" w:rsidRDefault="0078335C" w:rsidP="00076C5E">
      <w:pPr>
        <w:pStyle w:val="ListParagraph"/>
        <w:numPr>
          <w:ilvl w:val="0"/>
          <w:numId w:val="34"/>
        </w:numPr>
        <w:ind w:left="714" w:hanging="357"/>
      </w:pPr>
      <w:r>
        <w:t>Potential undermining of future covert operations by the identification of KPWs</w:t>
      </w:r>
    </w:p>
    <w:p w14:paraId="4CEB5344" w14:textId="77777777" w:rsidR="0078335C" w:rsidRDefault="0078335C" w:rsidP="00076C5E">
      <w:pPr>
        <w:pStyle w:val="ListParagraph"/>
        <w:numPr>
          <w:ilvl w:val="0"/>
          <w:numId w:val="34"/>
        </w:numPr>
        <w:ind w:left="714" w:hanging="357"/>
      </w:pPr>
      <w:r>
        <w:t xml:space="preserve">Advice within the CoP APP (Armed Policing) in relation to protection of identity </w:t>
      </w:r>
    </w:p>
    <w:p w14:paraId="4CEB5345" w14:textId="77777777" w:rsidR="0078335C" w:rsidRDefault="0078335C" w:rsidP="00076C5E">
      <w:pPr>
        <w:pStyle w:val="ListParagraph"/>
        <w:numPr>
          <w:ilvl w:val="0"/>
          <w:numId w:val="34"/>
        </w:numPr>
        <w:ind w:left="714" w:hanging="357"/>
      </w:pPr>
      <w:r>
        <w:t>Article 8 of the European Convention on Human Rights (ECHR) – Right to Respect for Private and Family Life</w:t>
      </w:r>
    </w:p>
    <w:p w14:paraId="4CEB5346" w14:textId="77777777" w:rsidR="0078335C" w:rsidRDefault="0078335C" w:rsidP="00076C5E">
      <w:r>
        <w:t>The aim of prot</w:t>
      </w:r>
      <w:r w:rsidR="00C70EF3">
        <w:t>ecting the identity of officers/</w:t>
      </w:r>
      <w:r>
        <w:t>staff</w:t>
      </w:r>
      <w:r w:rsidRPr="000265A5">
        <w:t xml:space="preserve"> who have protected characteristics or whose physical features could be easily identifiable (e.g. height), </w:t>
      </w:r>
      <w:r>
        <w:t xml:space="preserve">may be assisted through liaison at all levels. </w:t>
      </w:r>
    </w:p>
    <w:p w14:paraId="4CEB5347" w14:textId="77777777" w:rsidR="0078335C" w:rsidRDefault="0078335C" w:rsidP="00076C5E">
      <w:pPr>
        <w:pStyle w:val="Heading3"/>
      </w:pPr>
      <w:bookmarkStart w:id="10" w:name="_Toc119307686"/>
      <w:r>
        <w:t>Drug and Alcohol Testing and Forensic Elimination Samples</w:t>
      </w:r>
      <w:bookmarkEnd w:id="10"/>
    </w:p>
    <w:p w14:paraId="4CEB5348" w14:textId="77777777" w:rsidR="0078335C" w:rsidRDefault="00C70EF3" w:rsidP="00076C5E">
      <w:r>
        <w:t>Forensic samples and alcohol/</w:t>
      </w:r>
      <w:r w:rsidR="0078335C" w:rsidRPr="000265A5">
        <w:t>drugs testing should be cons</w:t>
      </w:r>
      <w:r w:rsidR="0078335C">
        <w:t>idered on a case-by-case basis.</w:t>
      </w:r>
      <w:r w:rsidR="0078335C" w:rsidRPr="000265A5">
        <w:t xml:space="preserve"> All requests should be relevant, borne out of a sound rationale, documented </w:t>
      </w:r>
      <w:r w:rsidR="0078335C" w:rsidRPr="000265A5">
        <w:lastRenderedPageBreak/>
        <w:t>and subject to legal advice where appropriate. No adverse inference should be drawn if an officer declines to give a s</w:t>
      </w:r>
      <w:r w:rsidR="0078335C">
        <w:t xml:space="preserve">ample when requested to do so. </w:t>
      </w:r>
      <w:r w:rsidR="0078335C" w:rsidRPr="000265A5">
        <w:t>Examples of these may include, but are not limited to:</w:t>
      </w:r>
    </w:p>
    <w:p w14:paraId="4CEB5349" w14:textId="77777777" w:rsidR="0078335C" w:rsidRDefault="0078335C" w:rsidP="00076C5E">
      <w:pPr>
        <w:pStyle w:val="ListParagraph"/>
        <w:numPr>
          <w:ilvl w:val="0"/>
          <w:numId w:val="35"/>
        </w:numPr>
        <w:ind w:left="714" w:hanging="357"/>
      </w:pPr>
      <w:r>
        <w:t>Fibre transfer or footwear marks</w:t>
      </w:r>
    </w:p>
    <w:p w14:paraId="4CEB534A" w14:textId="77777777" w:rsidR="0078335C" w:rsidRDefault="0078335C" w:rsidP="00076C5E">
      <w:pPr>
        <w:pStyle w:val="ListParagraph"/>
        <w:numPr>
          <w:ilvl w:val="0"/>
          <w:numId w:val="35"/>
        </w:numPr>
        <w:ind w:left="714" w:hanging="357"/>
      </w:pPr>
      <w:r>
        <w:t>Confirm/negate the presence of alcohol or drugs</w:t>
      </w:r>
    </w:p>
    <w:p w14:paraId="4CEB534B" w14:textId="77777777" w:rsidR="0078335C" w:rsidRDefault="0078335C" w:rsidP="00076C5E">
      <w:pPr>
        <w:pStyle w:val="ListParagraph"/>
        <w:numPr>
          <w:ilvl w:val="0"/>
          <w:numId w:val="35"/>
        </w:numPr>
        <w:ind w:left="714" w:hanging="357"/>
      </w:pPr>
      <w:r>
        <w:t>Elimination DNA samples</w:t>
      </w:r>
    </w:p>
    <w:p w14:paraId="4CEB534C" w14:textId="77777777" w:rsidR="0078335C" w:rsidRDefault="0078335C" w:rsidP="00076C5E">
      <w:pPr>
        <w:pStyle w:val="ListParagraph"/>
        <w:numPr>
          <w:ilvl w:val="0"/>
          <w:numId w:val="35"/>
        </w:numPr>
        <w:ind w:left="714" w:hanging="357"/>
      </w:pPr>
      <w:r>
        <w:t>Elimination fingerprints</w:t>
      </w:r>
    </w:p>
    <w:p w14:paraId="4CEB534D" w14:textId="77777777" w:rsidR="0078335C" w:rsidRDefault="0078335C" w:rsidP="00076C5E">
      <w:pPr>
        <w:pStyle w:val="ListParagraph"/>
        <w:numPr>
          <w:ilvl w:val="0"/>
          <w:numId w:val="35"/>
        </w:numPr>
        <w:ind w:left="714" w:hanging="357"/>
      </w:pPr>
      <w:r>
        <w:t>Firearms discharge residue (exceptional circumstances only).</w:t>
      </w:r>
    </w:p>
    <w:p w14:paraId="4CEB534E" w14:textId="77777777" w:rsidR="0078335C" w:rsidRDefault="0078335C" w:rsidP="00076C5E">
      <w:r w:rsidRPr="00D7031E">
        <w:t xml:space="preserve">If officers are </w:t>
      </w:r>
      <w:r>
        <w:t xml:space="preserve">considered to be a </w:t>
      </w:r>
      <w:r w:rsidRPr="00D7031E">
        <w:t>suspect</w:t>
      </w:r>
      <w:r>
        <w:t>,</w:t>
      </w:r>
      <w:r w:rsidRPr="00D7031E">
        <w:t xml:space="preserve"> they would not </w:t>
      </w:r>
      <w:r>
        <w:t>participate in</w:t>
      </w:r>
      <w:r w:rsidRPr="00D7031E">
        <w:t xml:space="preserve"> the PIP process and swab</w:t>
      </w:r>
      <w:r w:rsidR="00C70EF3">
        <w:t>, blood and</w:t>
      </w:r>
      <w:r w:rsidR="000B5439">
        <w:t xml:space="preserve"> </w:t>
      </w:r>
      <w:r w:rsidR="00C70EF3">
        <w:t>/</w:t>
      </w:r>
      <w:r w:rsidR="000B5439">
        <w:t xml:space="preserve"> </w:t>
      </w:r>
      <w:r>
        <w:t>or DNA</w:t>
      </w:r>
      <w:r w:rsidRPr="00D7031E">
        <w:t xml:space="preserve"> samples </w:t>
      </w:r>
      <w:r>
        <w:t>may be required</w:t>
      </w:r>
      <w:r w:rsidRPr="00D7031E">
        <w:t xml:space="preserve"> in accordance with the </w:t>
      </w:r>
      <w:r w:rsidRPr="00F525DD">
        <w:t>Criminal Procedure (Scotland) Act 1995</w:t>
      </w:r>
      <w:r>
        <w:t xml:space="preserve"> or the </w:t>
      </w:r>
      <w:r w:rsidRPr="00F525DD">
        <w:t>Road Traffic Act 1988</w:t>
      </w:r>
      <w:r w:rsidRPr="00D7031E">
        <w:t>.</w:t>
      </w:r>
      <w:r w:rsidDel="00F63BE0">
        <w:t xml:space="preserve"> </w:t>
      </w:r>
      <w:r>
        <w:t>Officers should not be routinely asked to provide blood or DNA samples.</w:t>
      </w:r>
    </w:p>
    <w:p w14:paraId="4CEB534F" w14:textId="77777777" w:rsidR="0078335C" w:rsidRDefault="00C70EF3" w:rsidP="00076C5E">
      <w:r>
        <w:t>Where an SIO/IIO/</w:t>
      </w:r>
      <w:r w:rsidR="0078335C">
        <w:t>PIRC consider it necessary to make such a request, the rationale should be made clear to the PIM and KPW and recorded appropriately. KPW who are subject to such requests may wish to obtain legal advice as part of their decision making process and this should be facilitated.</w:t>
      </w:r>
    </w:p>
    <w:p w14:paraId="4CEB5350" w14:textId="77777777" w:rsidR="0078335C" w:rsidRDefault="0078335C" w:rsidP="00076C5E">
      <w:r>
        <w:t xml:space="preserve">Nothing in this section precludes an officer/staff member from volunteering to provide samples where the officer/staff member intimates a desire to do so. </w:t>
      </w:r>
    </w:p>
    <w:p w14:paraId="4CEB5351" w14:textId="77777777" w:rsidR="0078335C" w:rsidRPr="000265A5" w:rsidRDefault="0078335C" w:rsidP="00076C5E">
      <w:r>
        <w:t xml:space="preserve">Random substance misuse testing as per the </w:t>
      </w:r>
      <w:r w:rsidRPr="00F525DD">
        <w:t>Substance Misuse SOP</w:t>
      </w:r>
      <w:r>
        <w:t>, will not apply to officers or staff involved in PIP process.</w:t>
      </w:r>
    </w:p>
    <w:p w14:paraId="4CEB5352" w14:textId="77777777" w:rsidR="0078335C" w:rsidRDefault="0078335C" w:rsidP="00076C5E">
      <w:pPr>
        <w:pStyle w:val="Heading2"/>
        <w:numPr>
          <w:ilvl w:val="0"/>
          <w:numId w:val="15"/>
        </w:numPr>
        <w:ind w:left="357" w:hanging="357"/>
      </w:pPr>
      <w:bookmarkStart w:id="11" w:name="_Toc119307687"/>
      <w:r>
        <w:t>Wellbeing</w:t>
      </w:r>
      <w:bookmarkEnd w:id="11"/>
    </w:p>
    <w:p w14:paraId="4CEB5353" w14:textId="77777777" w:rsidR="0078335C" w:rsidRDefault="0078335C" w:rsidP="00076C5E">
      <w:r w:rsidRPr="00D7031E">
        <w:t>The support and wellbeing needs of officers</w:t>
      </w:r>
      <w:r>
        <w:t>/staff</w:t>
      </w:r>
      <w:r w:rsidRPr="00D7031E">
        <w:t xml:space="preserve"> should be addressed throughout the PIP. Considerations will include, but should not be limited to</w:t>
      </w:r>
      <w:r>
        <w:t>:</w:t>
      </w:r>
    </w:p>
    <w:p w14:paraId="4CEB5354" w14:textId="77777777" w:rsidR="0078335C" w:rsidRDefault="0078335C" w:rsidP="00076C5E">
      <w:pPr>
        <w:pStyle w:val="ListParagraph"/>
        <w:numPr>
          <w:ilvl w:val="0"/>
          <w:numId w:val="36"/>
        </w:numPr>
        <w:ind w:left="714" w:hanging="357"/>
      </w:pPr>
      <w:r>
        <w:t>Immediate need for first aid and other medical assistance</w:t>
      </w:r>
    </w:p>
    <w:p w14:paraId="4CEB5355" w14:textId="77777777" w:rsidR="0078335C" w:rsidRDefault="0078335C" w:rsidP="00076C5E">
      <w:pPr>
        <w:pStyle w:val="ListParagraph"/>
        <w:numPr>
          <w:ilvl w:val="0"/>
          <w:numId w:val="36"/>
        </w:numPr>
        <w:ind w:left="714" w:hanging="357"/>
      </w:pPr>
      <w:r>
        <w:t>Securing weapons and equipment</w:t>
      </w:r>
    </w:p>
    <w:p w14:paraId="4CEB5356" w14:textId="77777777" w:rsidR="0078335C" w:rsidRDefault="0078335C" w:rsidP="00076C5E">
      <w:pPr>
        <w:pStyle w:val="ListParagraph"/>
        <w:numPr>
          <w:ilvl w:val="0"/>
          <w:numId w:val="36"/>
        </w:numPr>
        <w:ind w:left="714" w:hanging="357"/>
      </w:pPr>
      <w:r>
        <w:t>The provision of refreshments</w:t>
      </w:r>
    </w:p>
    <w:p w14:paraId="4CEB5357" w14:textId="77777777" w:rsidR="000F16CF" w:rsidRDefault="000F16CF" w:rsidP="00076C5E">
      <w:pPr>
        <w:pStyle w:val="ListParagraph"/>
        <w:numPr>
          <w:ilvl w:val="0"/>
          <w:numId w:val="36"/>
        </w:numPr>
        <w:ind w:left="714" w:hanging="357"/>
      </w:pPr>
      <w:r>
        <w:t>Making phone calls to immediate family members regarding officers’ wellbeing and possible retention on duty</w:t>
      </w:r>
    </w:p>
    <w:p w14:paraId="4CEB5358" w14:textId="77777777" w:rsidR="000F16CF" w:rsidRDefault="000F16CF" w:rsidP="00076C5E">
      <w:pPr>
        <w:pStyle w:val="ListParagraph"/>
        <w:numPr>
          <w:ilvl w:val="0"/>
          <w:numId w:val="36"/>
        </w:numPr>
        <w:ind w:left="714" w:hanging="357"/>
      </w:pPr>
      <w:r>
        <w:lastRenderedPageBreak/>
        <w:t>Showering and appropriate change of clothes (provided there are no forensic matters to be addressed)</w:t>
      </w:r>
    </w:p>
    <w:p w14:paraId="4CEB5359" w14:textId="77777777" w:rsidR="000F16CF" w:rsidRDefault="000F16CF" w:rsidP="00076C5E">
      <w:pPr>
        <w:pStyle w:val="ListParagraph"/>
        <w:numPr>
          <w:ilvl w:val="0"/>
          <w:numId w:val="36"/>
        </w:numPr>
        <w:ind w:left="714" w:hanging="357"/>
      </w:pPr>
      <w:r>
        <w:t>Removal from operational firearms duties</w:t>
      </w:r>
    </w:p>
    <w:p w14:paraId="4CEB535A" w14:textId="77777777" w:rsidR="000F16CF" w:rsidRDefault="000F16CF" w:rsidP="00076C5E">
      <w:pPr>
        <w:pStyle w:val="ListParagraph"/>
        <w:numPr>
          <w:ilvl w:val="0"/>
          <w:numId w:val="36"/>
        </w:numPr>
        <w:ind w:left="714" w:hanging="357"/>
      </w:pPr>
      <w:r>
        <w:t>Withdrawal from operational duties</w:t>
      </w:r>
    </w:p>
    <w:p w14:paraId="4CEB535B" w14:textId="77777777" w:rsidR="000F16CF" w:rsidRDefault="000F16CF" w:rsidP="00076C5E">
      <w:pPr>
        <w:pStyle w:val="ListParagraph"/>
        <w:numPr>
          <w:ilvl w:val="0"/>
          <w:numId w:val="36"/>
        </w:numPr>
        <w:ind w:left="714" w:hanging="357"/>
      </w:pPr>
      <w:r>
        <w:t>The emotional and mental state of the officer/staff member.</w:t>
      </w:r>
    </w:p>
    <w:p w14:paraId="4CEB535C" w14:textId="77777777" w:rsidR="000F16CF" w:rsidRDefault="000F16CF" w:rsidP="0065552A">
      <w:r w:rsidRPr="00D7031E">
        <w:t xml:space="preserve">Managers should give welfare consideration to those </w:t>
      </w:r>
      <w:r>
        <w:t xml:space="preserve">involved </w:t>
      </w:r>
      <w:r w:rsidRPr="00D7031E">
        <w:t xml:space="preserve">beyond the </w:t>
      </w:r>
      <w:r>
        <w:t xml:space="preserve">immediate </w:t>
      </w:r>
      <w:r w:rsidRPr="00D7031E">
        <w:t>scene</w:t>
      </w:r>
      <w:r>
        <w:t xml:space="preserve"> of the incident</w:t>
      </w:r>
      <w:r w:rsidRPr="00D7031E">
        <w:t>, i.e. control room staff</w:t>
      </w:r>
      <w:r>
        <w:t>, critical decision makers and those in command of the incident.</w:t>
      </w:r>
      <w:r w:rsidRPr="00D7031E">
        <w:t xml:space="preserve"> Post traumatic support for all police officers and members of police staff </w:t>
      </w:r>
      <w:r>
        <w:t>must be considered and offered</w:t>
      </w:r>
      <w:r w:rsidRPr="00D7031E">
        <w:t>.</w:t>
      </w:r>
    </w:p>
    <w:p w14:paraId="4CEB535D" w14:textId="77777777" w:rsidR="000F16CF" w:rsidRPr="00507C8E" w:rsidRDefault="000F16CF" w:rsidP="0065552A">
      <w:r w:rsidRPr="00D7031E">
        <w:t xml:space="preserve">Trauma Risk Management (TRiM) is the model of support used to provide support for officers and staff who are directly involved in </w:t>
      </w:r>
      <w:r w:rsidRPr="00507C8E">
        <w:t xml:space="preserve">potentially traumatic incidents. </w:t>
      </w:r>
      <w:r>
        <w:t>Further information and all associated resources, such as forms and co-ordinators, can be found on the</w:t>
      </w:r>
      <w:r w:rsidRPr="00507C8E">
        <w:t xml:space="preserve"> </w:t>
      </w:r>
      <w:r w:rsidRPr="00F525DD">
        <w:t>People and Development Policy Hub</w:t>
      </w:r>
      <w:r w:rsidRPr="00507C8E">
        <w:t>.</w:t>
      </w:r>
      <w:r>
        <w:t xml:space="preserve"> </w:t>
      </w:r>
    </w:p>
    <w:p w14:paraId="4CEB535E" w14:textId="77777777" w:rsidR="000F16CF" w:rsidRDefault="000F16CF" w:rsidP="0065552A">
      <w:r w:rsidRPr="00D7031E">
        <w:t>The timing of the introduction of the TRiM team will be determined by the PIM/IIO/</w:t>
      </w:r>
      <w:r w:rsidR="00C70EF3">
        <w:t>I</w:t>
      </w:r>
      <w:r w:rsidRPr="00D7031E">
        <w:t>IA, in line with ongoing processes.</w:t>
      </w:r>
    </w:p>
    <w:p w14:paraId="4CEB535F" w14:textId="77777777" w:rsidR="000F16CF" w:rsidRDefault="000F16CF" w:rsidP="0065552A">
      <w:r w:rsidRPr="00D7031E">
        <w:t xml:space="preserve">If an officer, following a TRiM process, requires additional and potentially longer term support, a referral to the </w:t>
      </w:r>
      <w:r w:rsidRPr="00F525DD">
        <w:t>Employee Assistance Programme (EAP)</w:t>
      </w:r>
      <w:r>
        <w:t xml:space="preserve"> can be made.</w:t>
      </w:r>
      <w:r w:rsidRPr="00D7031E">
        <w:t xml:space="preserve"> The officer can self-refer or they can be referred</w:t>
      </w:r>
      <w:r>
        <w:t xml:space="preserve"> by a member of the TRiM team.</w:t>
      </w:r>
    </w:p>
    <w:p w14:paraId="4CEB5360" w14:textId="77777777" w:rsidR="000F16CF" w:rsidRPr="002148DC" w:rsidRDefault="000F16CF" w:rsidP="0065552A">
      <w:r w:rsidRPr="00F525DD">
        <w:t>‘Your Wellbeing Matters’</w:t>
      </w:r>
      <w:r w:rsidRPr="000F16CF">
        <w:rPr>
          <w:color w:val="FF0000"/>
        </w:rPr>
        <w:t xml:space="preserve"> </w:t>
      </w:r>
      <w:r w:rsidRPr="00F6721E">
        <w:t>provides lots of useful information, contacts and links to additional support.</w:t>
      </w:r>
      <w:r>
        <w:t xml:space="preserve">  </w:t>
      </w:r>
    </w:p>
    <w:p w14:paraId="4CEB5361" w14:textId="77777777" w:rsidR="000F16CF" w:rsidRDefault="000F16CF" w:rsidP="0065552A">
      <w:pPr>
        <w:rPr>
          <w:rFonts w:cs="Arial"/>
        </w:rPr>
      </w:pPr>
      <w:r w:rsidRPr="000F16CF">
        <w:rPr>
          <w:rFonts w:cs="Arial"/>
        </w:rPr>
        <w:t>In addition, The Police Firearms Officers Association (PFOA)</w:t>
      </w:r>
      <w:r w:rsidRPr="000F16CF">
        <w:rPr>
          <w:rFonts w:cs="Arial"/>
          <w:color w:val="333333"/>
        </w:rPr>
        <w:t xml:space="preserve"> </w:t>
      </w:r>
      <w:r w:rsidRPr="000F16CF">
        <w:rPr>
          <w:rFonts w:cs="Arial"/>
        </w:rPr>
        <w:t>offers valuable additional support and appropriate services to relevant officers and their families.</w:t>
      </w:r>
    </w:p>
    <w:p w14:paraId="4CEB5362" w14:textId="77777777" w:rsidR="000F16CF" w:rsidRPr="000F16CF" w:rsidRDefault="000F16CF" w:rsidP="0065552A">
      <w:pPr>
        <w:pStyle w:val="Heading2"/>
        <w:numPr>
          <w:ilvl w:val="0"/>
          <w:numId w:val="15"/>
        </w:numPr>
        <w:ind w:left="357" w:hanging="357"/>
      </w:pPr>
      <w:bookmarkStart w:id="12" w:name="_Toc119307688"/>
      <w:r>
        <w:t>Cross Jurisdictional Matters</w:t>
      </w:r>
      <w:bookmarkEnd w:id="12"/>
    </w:p>
    <w:p w14:paraId="4CEB5363" w14:textId="77777777" w:rsidR="000F16CF" w:rsidRDefault="000F16CF" w:rsidP="0065552A">
      <w:r w:rsidRPr="00291D03">
        <w:t xml:space="preserve">A </w:t>
      </w:r>
      <w:r w:rsidRPr="00F525DD">
        <w:t>Memorandum of Understanding (MoU) of Cross Border Agreed Principles</w:t>
      </w:r>
      <w:r>
        <w:t xml:space="preserve"> between COPFS, Home Office, PIRC, IOPC, the Chief Constable of Police Scotland and the National Police Chiefs’ Council has been agreed and signed. This MoU supports DSI following police contact and complaints and conduct matters.</w:t>
      </w:r>
    </w:p>
    <w:p w14:paraId="4CEB5364" w14:textId="77777777" w:rsidR="000F16CF" w:rsidRDefault="000F16CF" w:rsidP="0065552A">
      <w:r>
        <w:lastRenderedPageBreak/>
        <w:t>In the absence of primary legislation, this MoU outlines arrangements for all parties to co-operate with one another, in so far as it is legally possible and reasonably practicable, ensuring an effective independent investigation into:</w:t>
      </w:r>
    </w:p>
    <w:p w14:paraId="4CEB5365" w14:textId="77777777" w:rsidR="000F16CF" w:rsidRDefault="000F16CF" w:rsidP="0065552A">
      <w:pPr>
        <w:pStyle w:val="ListParagraph"/>
        <w:numPr>
          <w:ilvl w:val="0"/>
          <w:numId w:val="37"/>
        </w:numPr>
        <w:ind w:left="714" w:hanging="357"/>
      </w:pPr>
      <w:r>
        <w:t>Alleged criminal offences</w:t>
      </w:r>
    </w:p>
    <w:p w14:paraId="4CEB5366" w14:textId="77777777" w:rsidR="000F16CF" w:rsidRDefault="000F16CF" w:rsidP="0065552A">
      <w:pPr>
        <w:pStyle w:val="ListParagraph"/>
        <w:numPr>
          <w:ilvl w:val="0"/>
          <w:numId w:val="37"/>
        </w:numPr>
        <w:ind w:left="714" w:hanging="357"/>
      </w:pPr>
      <w:r>
        <w:t>Death or serious injury events</w:t>
      </w:r>
    </w:p>
    <w:p w14:paraId="4CEB5367" w14:textId="77777777" w:rsidR="000F16CF" w:rsidRDefault="000F16CF" w:rsidP="0065552A">
      <w:pPr>
        <w:pStyle w:val="ListParagraph"/>
        <w:numPr>
          <w:ilvl w:val="0"/>
          <w:numId w:val="37"/>
        </w:numPr>
        <w:ind w:left="714" w:hanging="357"/>
      </w:pPr>
      <w:r>
        <w:t>Firearm or weapons events.</w:t>
      </w:r>
    </w:p>
    <w:p w14:paraId="4CEB5368" w14:textId="77777777" w:rsidR="005E45DB" w:rsidRDefault="000F16CF" w:rsidP="000F16CF">
      <w:r w:rsidRPr="0087546A">
        <w:t xml:space="preserve">In conjunction with the MoU, as previously mentioned a practical </w:t>
      </w:r>
      <w:r w:rsidRPr="00F525DD">
        <w:t>Toolkit and Task Cards</w:t>
      </w:r>
      <w:r w:rsidRPr="0087546A">
        <w:t xml:space="preserve"> for</w:t>
      </w:r>
      <w:r>
        <w:t xml:space="preserve"> practitioners has been created.</w:t>
      </w:r>
    </w:p>
    <w:p w14:paraId="4CEB5369" w14:textId="77777777" w:rsidR="00076C5E" w:rsidRDefault="005E45DB" w:rsidP="005E45DB">
      <w:pPr>
        <w:spacing w:before="0" w:line="240" w:lineRule="auto"/>
      </w:pPr>
      <w:r>
        <w:br w:type="page"/>
      </w:r>
    </w:p>
    <w:p w14:paraId="4CEB536A" w14:textId="77777777" w:rsidR="000F16CF" w:rsidRDefault="00212A67" w:rsidP="00076C5E">
      <w:pPr>
        <w:pStyle w:val="Heading2"/>
      </w:pPr>
      <w:bookmarkStart w:id="13" w:name="_Toc119307689"/>
      <w:r>
        <w:lastRenderedPageBreak/>
        <w:t>A</w:t>
      </w:r>
      <w:r w:rsidR="00B5198F">
        <w:t>ppendix A</w:t>
      </w:r>
      <w:bookmarkEnd w:id="13"/>
    </w:p>
    <w:p w14:paraId="4CEB536B" w14:textId="77777777" w:rsidR="00B5198F" w:rsidRDefault="00B5198F" w:rsidP="00B5198F">
      <w:pPr>
        <w:pStyle w:val="Heading3"/>
      </w:pPr>
      <w:bookmarkStart w:id="14" w:name="_Toc119307690"/>
      <w:r>
        <w:t>Post Incident Suite Locations</w:t>
      </w:r>
      <w:bookmarkEnd w:id="14"/>
    </w:p>
    <w:p w14:paraId="4CEB536C" w14:textId="47AC0AB4" w:rsidR="005E45DB" w:rsidRDefault="002D167A">
      <w:pPr>
        <w:spacing w:before="0" w:line="240" w:lineRule="auto"/>
        <w:rPr>
          <w:rFonts w:eastAsia="Times New Roman"/>
          <w:szCs w:val="24"/>
        </w:rPr>
      </w:pPr>
      <w:r>
        <w:t>Information has been removed due to its content being exempt in terms of the Freedom of Information (Scotland) Act 2002, Section 3</w:t>
      </w:r>
      <w:r w:rsidR="00055403">
        <w:t>9</w:t>
      </w:r>
      <w:r w:rsidR="00242426">
        <w:t>(1)</w:t>
      </w:r>
      <w:r>
        <w:t xml:space="preserve">, </w:t>
      </w:r>
      <w:r w:rsidR="00C36663">
        <w:t>Health, S</w:t>
      </w:r>
      <w:r w:rsidR="00242426">
        <w:t>afety and the E</w:t>
      </w:r>
      <w:r w:rsidR="00055403">
        <w:t>nvironment</w:t>
      </w:r>
      <w:r w:rsidR="00242426">
        <w:t xml:space="preserve">, Section 30(c) Prejudice to effective conduct of public affairs </w:t>
      </w:r>
      <w:r w:rsidR="00C36663">
        <w:t>and Section 35(1)(a)&amp;(b) Law Enforcement.</w:t>
      </w:r>
      <w:r w:rsidR="005E45DB">
        <w:br w:type="page"/>
      </w:r>
    </w:p>
    <w:p w14:paraId="4CEB536D" w14:textId="77777777" w:rsidR="004546DC" w:rsidRDefault="005E45DB" w:rsidP="005E45DB">
      <w:pPr>
        <w:pStyle w:val="Heading2"/>
      </w:pPr>
      <w:r w:rsidRPr="006C7D8A">
        <w:lastRenderedPageBreak/>
        <w:t xml:space="preserve"> </w:t>
      </w:r>
      <w:bookmarkStart w:id="15" w:name="_Toc119307691"/>
      <w:r w:rsidR="004546DC" w:rsidRPr="006C7D8A">
        <w:t xml:space="preserve">Compliance </w:t>
      </w:r>
      <w:r w:rsidR="00845E8C">
        <w:t>r</w:t>
      </w:r>
      <w:r w:rsidR="004546DC" w:rsidRPr="006C7D8A">
        <w:t>ecord</w:t>
      </w:r>
      <w:bookmarkEnd w:id="15"/>
    </w:p>
    <w:p w14:paraId="4CEB536E" w14:textId="77777777" w:rsidR="00E74798" w:rsidRDefault="00F025C4" w:rsidP="00F025C4">
      <w:pPr>
        <w:tabs>
          <w:tab w:val="left" w:pos="5245"/>
        </w:tabs>
      </w:pPr>
      <w:r>
        <w:t>EqHIRA completion/review date:</w:t>
      </w:r>
      <w:r>
        <w:tab/>
      </w:r>
      <w:r w:rsidR="00096317">
        <w:t>13/09/2022</w:t>
      </w:r>
    </w:p>
    <w:p w14:paraId="4CEB536F" w14:textId="77777777" w:rsidR="00E74798" w:rsidRDefault="00E74798" w:rsidP="00F025C4">
      <w:pPr>
        <w:tabs>
          <w:tab w:val="left" w:pos="5245"/>
        </w:tabs>
      </w:pPr>
      <w:r>
        <w:t xml:space="preserve">Information Management Compliant: </w:t>
      </w:r>
      <w:r w:rsidR="00F025C4">
        <w:tab/>
      </w:r>
      <w:r w:rsidR="008B7BDE">
        <w:t>Yes</w:t>
      </w:r>
    </w:p>
    <w:p w14:paraId="4CEB5370" w14:textId="77777777" w:rsidR="00E74798" w:rsidRDefault="00E74798" w:rsidP="00F025C4">
      <w:pPr>
        <w:tabs>
          <w:tab w:val="left" w:pos="5245"/>
        </w:tabs>
      </w:pPr>
      <w:r>
        <w:t xml:space="preserve">Health and Safety Compliant: </w:t>
      </w:r>
      <w:r w:rsidR="00F025C4">
        <w:tab/>
      </w:r>
      <w:r w:rsidR="00096317">
        <w:t>Yes</w:t>
      </w:r>
    </w:p>
    <w:p w14:paraId="4CEB5371" w14:textId="77777777" w:rsidR="004546DC" w:rsidRPr="009E0114" w:rsidRDefault="004546DC" w:rsidP="00F025C4">
      <w:pPr>
        <w:pStyle w:val="Heading2"/>
      </w:pPr>
      <w:bookmarkStart w:id="16" w:name="_Toc119307692"/>
      <w:r w:rsidRPr="00174A79">
        <w:t xml:space="preserve">Version </w:t>
      </w:r>
      <w:r w:rsidR="00845E8C">
        <w:t>c</w:t>
      </w:r>
      <w:r w:rsidRPr="00174A79">
        <w:t xml:space="preserve">ontrol </w:t>
      </w:r>
      <w:r w:rsidR="00845E8C">
        <w:t>t</w:t>
      </w:r>
      <w:r w:rsidRPr="00174A79">
        <w:t>able</w:t>
      </w:r>
      <w:bookmarkEnd w:id="16"/>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4CEB5375" w14:textId="77777777" w:rsidTr="00997AD9">
        <w:trPr>
          <w:trHeight w:val="307"/>
          <w:tblHeader/>
        </w:trPr>
        <w:tc>
          <w:tcPr>
            <w:tcW w:w="1696" w:type="dxa"/>
          </w:tcPr>
          <w:p w14:paraId="4CEB5372" w14:textId="77777777" w:rsidR="004546DC" w:rsidRPr="007E214E" w:rsidRDefault="004546DC" w:rsidP="00DA47BF">
            <w:pPr>
              <w:pStyle w:val="TableFieldHeading"/>
            </w:pPr>
            <w:r w:rsidRPr="00BD2249">
              <w:t>Version</w:t>
            </w:r>
          </w:p>
        </w:tc>
        <w:tc>
          <w:tcPr>
            <w:tcW w:w="5344" w:type="dxa"/>
          </w:tcPr>
          <w:p w14:paraId="4CEB5373"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4CEB5374" w14:textId="77777777" w:rsidR="004546DC" w:rsidRPr="007E214E" w:rsidRDefault="004546DC" w:rsidP="00DA47BF">
            <w:pPr>
              <w:pStyle w:val="TableFieldHeading"/>
            </w:pPr>
            <w:r>
              <w:t xml:space="preserve">Approval </w:t>
            </w:r>
            <w:r w:rsidR="00717072">
              <w:t>date</w:t>
            </w:r>
          </w:p>
        </w:tc>
      </w:tr>
      <w:tr w:rsidR="004546DC" w:rsidRPr="00A324B2" w14:paraId="4CEB5379" w14:textId="77777777" w:rsidTr="00997AD9">
        <w:trPr>
          <w:trHeight w:val="397"/>
          <w:tblHeader/>
        </w:trPr>
        <w:tc>
          <w:tcPr>
            <w:tcW w:w="1696" w:type="dxa"/>
          </w:tcPr>
          <w:p w14:paraId="4CEB5376" w14:textId="77777777" w:rsidR="004546DC" w:rsidRPr="007E214E" w:rsidRDefault="004546DC" w:rsidP="00DA47BF">
            <w:pPr>
              <w:pStyle w:val="TableFieldContent"/>
            </w:pPr>
            <w:r>
              <w:t>1.00</w:t>
            </w:r>
          </w:p>
        </w:tc>
        <w:tc>
          <w:tcPr>
            <w:tcW w:w="5344" w:type="dxa"/>
          </w:tcPr>
          <w:p w14:paraId="4CEB5377" w14:textId="77777777" w:rsidR="004546DC" w:rsidRPr="00C75D25" w:rsidRDefault="00096317" w:rsidP="00DA47BF">
            <w:pPr>
              <w:pStyle w:val="TableFieldContent"/>
            </w:pPr>
            <w:r>
              <w:t>Initial Approved Version of National Guidance produced following conversion of the Post Deployment Procedures SOP under terms of the SOP Review.</w:t>
            </w:r>
          </w:p>
        </w:tc>
        <w:tc>
          <w:tcPr>
            <w:tcW w:w="1998" w:type="dxa"/>
          </w:tcPr>
          <w:p w14:paraId="4CEB5378" w14:textId="77777777" w:rsidR="004546DC" w:rsidRDefault="00096317" w:rsidP="00DA47BF">
            <w:pPr>
              <w:pStyle w:val="TableFieldContent"/>
            </w:pPr>
            <w:r>
              <w:t>27/09/2022</w:t>
            </w:r>
          </w:p>
        </w:tc>
      </w:tr>
    </w:tbl>
    <w:p w14:paraId="4CEB537A" w14:textId="77777777" w:rsidR="00AA7CEC" w:rsidRPr="00940BDB" w:rsidRDefault="00AA7CEC" w:rsidP="00AA7CEC">
      <w:pPr>
        <w:pStyle w:val="Heading2"/>
      </w:pPr>
      <w:bookmarkStart w:id="17" w:name="_Toc119307693"/>
      <w:r w:rsidRPr="00940BDB">
        <w:t>Feedback</w:t>
      </w:r>
      <w:bookmarkEnd w:id="17"/>
    </w:p>
    <w:p w14:paraId="4CEB537B"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4CEB537C" w14:textId="77777777"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096317">
        <w:rPr>
          <w:rStyle w:val="Hyperlink"/>
          <w:color w:val="auto"/>
          <w:u w:val="none"/>
        </w:rPr>
        <w:t>Force Form 066-014</w:t>
      </w:r>
      <w:r w:rsidRPr="00096317">
        <w:t xml:space="preserve"> </w:t>
      </w:r>
      <w:r>
        <w:t>should be used.</w:t>
      </w:r>
    </w:p>
    <w:p w14:paraId="4CEB537D" w14:textId="77777777" w:rsidR="00AA7CEC" w:rsidRPr="00CF37D7" w:rsidRDefault="00AA7CEC" w:rsidP="00D13A85"/>
    <w:sectPr w:rsidR="00AA7CEC" w:rsidRPr="00CF37D7" w:rsidSect="008017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5382" w14:textId="77777777" w:rsidR="00096317" w:rsidRDefault="00096317" w:rsidP="00765717">
      <w:r>
        <w:separator/>
      </w:r>
    </w:p>
  </w:endnote>
  <w:endnote w:type="continuationSeparator" w:id="0">
    <w:p w14:paraId="4CEB5383" w14:textId="77777777" w:rsidR="00096317" w:rsidRDefault="00096317"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F3C0" w14:textId="77777777" w:rsidR="00EE5D96" w:rsidRDefault="00EE5D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5387" w14:textId="77777777" w:rsidR="00096317" w:rsidRPr="00CD369A" w:rsidRDefault="00096317" w:rsidP="00166258">
    <w:pPr>
      <w:pStyle w:val="Footer"/>
      <w:spacing w:before="0" w:line="240" w:lineRule="auto"/>
      <w:rPr>
        <w:rFonts w:cs="Arial"/>
        <w:sz w:val="20"/>
        <w:szCs w:val="20"/>
      </w:rPr>
    </w:pPr>
    <w:r w:rsidRPr="00CF37D7">
      <w:rPr>
        <w:sz w:val="20"/>
        <w:szCs w:val="20"/>
      </w:rPr>
      <w:t xml:space="preserve">Version </w:t>
    </w:r>
    <w:r>
      <w:rPr>
        <w:sz w:val="20"/>
        <w:szCs w:val="20"/>
      </w:rPr>
      <w:t xml:space="preserve">1.00 </w:t>
    </w:r>
    <w:r>
      <w:rPr>
        <w:rFonts w:cs="Arial"/>
        <w:sz w:val="20"/>
        <w:szCs w:val="20"/>
      </w:rPr>
      <w:t>(Publication Scheme)</w:t>
    </w:r>
    <w:r>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717C73">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5389" w14:textId="77777777" w:rsidR="00096317" w:rsidRPr="00765717" w:rsidRDefault="00096317" w:rsidP="00CD369A">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1.00 (Publication Scheme)</w:t>
    </w:r>
  </w:p>
  <w:p w14:paraId="4CEB538A" w14:textId="77777777" w:rsidR="00096317" w:rsidRDefault="00096317"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B5380" w14:textId="77777777" w:rsidR="00096317" w:rsidRDefault="00096317" w:rsidP="00765717">
      <w:r>
        <w:separator/>
      </w:r>
    </w:p>
  </w:footnote>
  <w:footnote w:type="continuationSeparator" w:id="0">
    <w:p w14:paraId="4CEB5381" w14:textId="77777777" w:rsidR="00096317" w:rsidRDefault="00096317"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BD614" w14:textId="77777777" w:rsidR="00EE5D96" w:rsidRDefault="00EE5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5385" w14:textId="77777777" w:rsidR="00096317" w:rsidRPr="00166258" w:rsidRDefault="00096317"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8ECDE" w14:textId="77777777" w:rsidR="00EE5D96" w:rsidRDefault="00EE5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63DB8"/>
    <w:multiLevelType w:val="hybridMultilevel"/>
    <w:tmpl w:val="E270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239A4"/>
    <w:multiLevelType w:val="hybridMultilevel"/>
    <w:tmpl w:val="F272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5160D"/>
    <w:multiLevelType w:val="hybridMultilevel"/>
    <w:tmpl w:val="27B4A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0231AB"/>
    <w:multiLevelType w:val="hybridMultilevel"/>
    <w:tmpl w:val="73F2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C05D7B"/>
    <w:multiLevelType w:val="hybridMultilevel"/>
    <w:tmpl w:val="01BAB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F2F10"/>
    <w:multiLevelType w:val="hybridMultilevel"/>
    <w:tmpl w:val="77F2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655146A"/>
    <w:multiLevelType w:val="hybridMultilevel"/>
    <w:tmpl w:val="AABC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9C4979"/>
    <w:multiLevelType w:val="hybridMultilevel"/>
    <w:tmpl w:val="985E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914AC"/>
    <w:multiLevelType w:val="hybridMultilevel"/>
    <w:tmpl w:val="8D62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385075"/>
    <w:multiLevelType w:val="hybridMultilevel"/>
    <w:tmpl w:val="CDDAA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4AC24E3"/>
    <w:multiLevelType w:val="hybridMultilevel"/>
    <w:tmpl w:val="AC1A13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B3027FA"/>
    <w:multiLevelType w:val="hybridMultilevel"/>
    <w:tmpl w:val="9BE64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num>
  <w:num w:numId="4">
    <w:abstractNumId w:val="20"/>
  </w:num>
  <w:num w:numId="5">
    <w:abstractNumId w:val="32"/>
  </w:num>
  <w:num w:numId="6">
    <w:abstractNumId w:val="30"/>
  </w:num>
  <w:num w:numId="7">
    <w:abstractNumId w:val="0"/>
  </w:num>
  <w:num w:numId="8">
    <w:abstractNumId w:val="38"/>
  </w:num>
  <w:num w:numId="9">
    <w:abstractNumId w:val="3"/>
  </w:num>
  <w:num w:numId="10">
    <w:abstractNumId w:val="26"/>
  </w:num>
  <w:num w:numId="11">
    <w:abstractNumId w:val="4"/>
  </w:num>
  <w:num w:numId="12">
    <w:abstractNumId w:val="18"/>
  </w:num>
  <w:num w:numId="13">
    <w:abstractNumId w:val="5"/>
  </w:num>
  <w:num w:numId="14">
    <w:abstractNumId w:val="2"/>
  </w:num>
  <w:num w:numId="15">
    <w:abstractNumId w:val="36"/>
  </w:num>
  <w:num w:numId="16">
    <w:abstractNumId w:val="21"/>
  </w:num>
  <w:num w:numId="17">
    <w:abstractNumId w:val="24"/>
  </w:num>
  <w:num w:numId="18">
    <w:abstractNumId w:val="29"/>
  </w:num>
  <w:num w:numId="19">
    <w:abstractNumId w:val="12"/>
  </w:num>
  <w:num w:numId="20">
    <w:abstractNumId w:val="28"/>
  </w:num>
  <w:num w:numId="21">
    <w:abstractNumId w:val="16"/>
  </w:num>
  <w:num w:numId="22">
    <w:abstractNumId w:val="23"/>
  </w:num>
  <w:num w:numId="23">
    <w:abstractNumId w:val="34"/>
  </w:num>
  <w:num w:numId="24">
    <w:abstractNumId w:val="33"/>
  </w:num>
  <w:num w:numId="25">
    <w:abstractNumId w:val="9"/>
  </w:num>
  <w:num w:numId="26">
    <w:abstractNumId w:val="8"/>
  </w:num>
  <w:num w:numId="27">
    <w:abstractNumId w:val="10"/>
  </w:num>
  <w:num w:numId="28">
    <w:abstractNumId w:val="7"/>
  </w:num>
  <w:num w:numId="29">
    <w:abstractNumId w:val="1"/>
  </w:num>
  <w:num w:numId="30">
    <w:abstractNumId w:val="11"/>
  </w:num>
  <w:num w:numId="31">
    <w:abstractNumId w:val="31"/>
  </w:num>
  <w:num w:numId="32">
    <w:abstractNumId w:val="19"/>
  </w:num>
  <w:num w:numId="33">
    <w:abstractNumId w:val="22"/>
  </w:num>
  <w:num w:numId="34">
    <w:abstractNumId w:val="15"/>
  </w:num>
  <w:num w:numId="35">
    <w:abstractNumId w:val="37"/>
  </w:num>
  <w:num w:numId="36">
    <w:abstractNumId w:val="14"/>
  </w:num>
  <w:num w:numId="37">
    <w:abstractNumId w:val="27"/>
  </w:num>
  <w:num w:numId="38">
    <w:abstractNumId w:val="17"/>
  </w:num>
  <w:num w:numId="3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3C2"/>
    <w:rsid w:val="000252AD"/>
    <w:rsid w:val="00044E87"/>
    <w:rsid w:val="0005219C"/>
    <w:rsid w:val="00055403"/>
    <w:rsid w:val="000648CA"/>
    <w:rsid w:val="00076C5E"/>
    <w:rsid w:val="00083367"/>
    <w:rsid w:val="00096317"/>
    <w:rsid w:val="000B05CF"/>
    <w:rsid w:val="000B2BF5"/>
    <w:rsid w:val="000B2CF6"/>
    <w:rsid w:val="000B4CF2"/>
    <w:rsid w:val="000B5439"/>
    <w:rsid w:val="000E0755"/>
    <w:rsid w:val="000E47CE"/>
    <w:rsid w:val="000F0FB9"/>
    <w:rsid w:val="000F16CF"/>
    <w:rsid w:val="000F75DA"/>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A0869"/>
    <w:rsid w:val="001B0767"/>
    <w:rsid w:val="001D096E"/>
    <w:rsid w:val="001D3EBF"/>
    <w:rsid w:val="001F1197"/>
    <w:rsid w:val="00212A67"/>
    <w:rsid w:val="002143A2"/>
    <w:rsid w:val="00222B23"/>
    <w:rsid w:val="002378E4"/>
    <w:rsid w:val="00242426"/>
    <w:rsid w:val="002451BF"/>
    <w:rsid w:val="00247152"/>
    <w:rsid w:val="002606F3"/>
    <w:rsid w:val="00261D48"/>
    <w:rsid w:val="0027190A"/>
    <w:rsid w:val="00294A11"/>
    <w:rsid w:val="002A3F58"/>
    <w:rsid w:val="002D167A"/>
    <w:rsid w:val="002D5412"/>
    <w:rsid w:val="002E184B"/>
    <w:rsid w:val="002F6369"/>
    <w:rsid w:val="00301D6D"/>
    <w:rsid w:val="00303402"/>
    <w:rsid w:val="003039DB"/>
    <w:rsid w:val="00305879"/>
    <w:rsid w:val="003112E3"/>
    <w:rsid w:val="003337B8"/>
    <w:rsid w:val="0033575B"/>
    <w:rsid w:val="00350927"/>
    <w:rsid w:val="00351C27"/>
    <w:rsid w:val="00366D84"/>
    <w:rsid w:val="00367863"/>
    <w:rsid w:val="0039405B"/>
    <w:rsid w:val="003A346E"/>
    <w:rsid w:val="003A6849"/>
    <w:rsid w:val="003D281A"/>
    <w:rsid w:val="0041438B"/>
    <w:rsid w:val="00425C31"/>
    <w:rsid w:val="00434D64"/>
    <w:rsid w:val="00442864"/>
    <w:rsid w:val="00452C76"/>
    <w:rsid w:val="004546DC"/>
    <w:rsid w:val="004571AF"/>
    <w:rsid w:val="00464FD2"/>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E45DB"/>
    <w:rsid w:val="005F2EF1"/>
    <w:rsid w:val="005F50C2"/>
    <w:rsid w:val="005F5627"/>
    <w:rsid w:val="006455E2"/>
    <w:rsid w:val="00652E16"/>
    <w:rsid w:val="0065552A"/>
    <w:rsid w:val="0065566C"/>
    <w:rsid w:val="00655889"/>
    <w:rsid w:val="00665C3D"/>
    <w:rsid w:val="006739DB"/>
    <w:rsid w:val="00673C36"/>
    <w:rsid w:val="006A1C22"/>
    <w:rsid w:val="006C7D8A"/>
    <w:rsid w:val="006E3B89"/>
    <w:rsid w:val="0070451C"/>
    <w:rsid w:val="00711286"/>
    <w:rsid w:val="00717072"/>
    <w:rsid w:val="00717C73"/>
    <w:rsid w:val="007246A8"/>
    <w:rsid w:val="0073356A"/>
    <w:rsid w:val="00735213"/>
    <w:rsid w:val="00740C25"/>
    <w:rsid w:val="00750F21"/>
    <w:rsid w:val="00760175"/>
    <w:rsid w:val="00765717"/>
    <w:rsid w:val="0078335C"/>
    <w:rsid w:val="00796541"/>
    <w:rsid w:val="007A2FC2"/>
    <w:rsid w:val="007B13C2"/>
    <w:rsid w:val="007C010F"/>
    <w:rsid w:val="007C29ED"/>
    <w:rsid w:val="007D3889"/>
    <w:rsid w:val="007E265B"/>
    <w:rsid w:val="008017CE"/>
    <w:rsid w:val="00805309"/>
    <w:rsid w:val="00824E40"/>
    <w:rsid w:val="00844F36"/>
    <w:rsid w:val="00845E8C"/>
    <w:rsid w:val="00884186"/>
    <w:rsid w:val="0089065D"/>
    <w:rsid w:val="008A2904"/>
    <w:rsid w:val="008B7BDE"/>
    <w:rsid w:val="008E15BF"/>
    <w:rsid w:val="008E30E9"/>
    <w:rsid w:val="008E7FEA"/>
    <w:rsid w:val="00910515"/>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AF31AC"/>
    <w:rsid w:val="00B038D5"/>
    <w:rsid w:val="00B03D4C"/>
    <w:rsid w:val="00B26597"/>
    <w:rsid w:val="00B3109F"/>
    <w:rsid w:val="00B43709"/>
    <w:rsid w:val="00B5198F"/>
    <w:rsid w:val="00B5576D"/>
    <w:rsid w:val="00B82F8C"/>
    <w:rsid w:val="00BB0914"/>
    <w:rsid w:val="00BB10C1"/>
    <w:rsid w:val="00BB5C85"/>
    <w:rsid w:val="00BD2869"/>
    <w:rsid w:val="00BE1F1A"/>
    <w:rsid w:val="00BF6121"/>
    <w:rsid w:val="00C1145A"/>
    <w:rsid w:val="00C24A38"/>
    <w:rsid w:val="00C36663"/>
    <w:rsid w:val="00C4193B"/>
    <w:rsid w:val="00C46229"/>
    <w:rsid w:val="00C50AAF"/>
    <w:rsid w:val="00C70EF3"/>
    <w:rsid w:val="00C74CB8"/>
    <w:rsid w:val="00C87D00"/>
    <w:rsid w:val="00CA0933"/>
    <w:rsid w:val="00CB1259"/>
    <w:rsid w:val="00CC53DA"/>
    <w:rsid w:val="00CD369A"/>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2C48"/>
    <w:rsid w:val="00E9412B"/>
    <w:rsid w:val="00E97007"/>
    <w:rsid w:val="00EA1395"/>
    <w:rsid w:val="00EA221B"/>
    <w:rsid w:val="00EC5C5E"/>
    <w:rsid w:val="00ED4059"/>
    <w:rsid w:val="00EE5D96"/>
    <w:rsid w:val="00F025C4"/>
    <w:rsid w:val="00F05892"/>
    <w:rsid w:val="00F4264C"/>
    <w:rsid w:val="00F57498"/>
    <w:rsid w:val="00F74615"/>
    <w:rsid w:val="00F82ADB"/>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EB52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089808AB-055C-43DC-98C5-122D3239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1989</Words>
  <Characters>11342</Characters>
  <Application>Microsoft Office Word</Application>
  <DocSecurity>0</DocSecurity>
  <Lines>94</Lines>
  <Paragraphs>26</Paragraphs>
  <ScaleCrop>false</ScaleCrop>
  <Company/>
  <LinksUpToDate>false</LinksUpToDate>
  <CharactersWithSpaces>13305</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2022-12-22T10:18:00Z</dcterms:created>
  <dcterms:modified xsi:type="dcterms:W3CDTF">2022-12-22T10:33:00Z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SPNET\1810332</vt:lpwstr>
  </property>
  <property fmtid="{D5CDD505-2E9C-101B-9397-08002B2CF9AE}" pid="6" name="ClassificationMadeOn">
    <vt:filetime>2022-12-22T10:33:31Z</vt:filetime>
  </property>
</Properties>
</file>