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DE65FE">
              <w:t>0199</w:t>
            </w:r>
          </w:p>
          <w:p w:rsidR="00B17211" w:rsidRDefault="00456324" w:rsidP="001C691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C691E">
              <w:t>05</w:t>
            </w:r>
            <w:bookmarkStart w:id="0" w:name="_GoBack"/>
            <w:bookmarkEnd w:id="0"/>
            <w:r w:rsidR="006D5799">
              <w:t xml:space="preserve"> </w:t>
            </w:r>
            <w:r w:rsidR="00005F71">
              <w:t>May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request for information is replicated below, together with </w:t>
      </w:r>
      <w:r w:rsidR="004341F0">
        <w:t>our</w:t>
      </w:r>
      <w:r w:rsidRPr="00793DD5">
        <w:t xml:space="preserve"> response.</w:t>
      </w:r>
    </w:p>
    <w:p w:rsidR="00DE65FE" w:rsidRDefault="00DE65FE" w:rsidP="0036503B">
      <w:pPr>
        <w:rPr>
          <w:b/>
        </w:rPr>
      </w:pPr>
      <w:r>
        <w:t xml:space="preserve">Please accept our apologies for the delay in responding. </w:t>
      </w:r>
    </w:p>
    <w:p w:rsidR="00F55B4C" w:rsidRDefault="00F55B4C" w:rsidP="00F55B4C">
      <w:r w:rsidRPr="00DE65FE">
        <w:t>To provide some context to our response, it may be helpful</w:t>
      </w:r>
      <w:r>
        <w:t xml:space="preserve"> </w:t>
      </w:r>
      <w:r w:rsidRPr="00DE65FE">
        <w:t xml:space="preserve">to outline how the complaints and conduct processes operate in Scotland. </w:t>
      </w:r>
    </w:p>
    <w:p w:rsidR="00276BA9" w:rsidRDefault="00276BA9" w:rsidP="00276BA9">
      <w:r w:rsidRPr="00DE65FE">
        <w:t xml:space="preserve">PSD manage conduct matters for Police Officers, whilst People &amp; </w:t>
      </w:r>
      <w:r>
        <w:t>Development (P&amp;D) manage disciplinary</w:t>
      </w:r>
      <w:r w:rsidRPr="00DE65FE">
        <w:t xml:space="preserve"> matters relative to Members of Police Staff. </w:t>
      </w:r>
    </w:p>
    <w:p w:rsidR="00F55B4C" w:rsidRPr="00DE65FE" w:rsidRDefault="00F55B4C" w:rsidP="00F55B4C">
      <w:r w:rsidRPr="00DE65FE">
        <w:t>The complaint process and the conduct process are distinct from each other and both have separate assessment and recording</w:t>
      </w:r>
      <w:r w:rsidR="00276BA9">
        <w:t xml:space="preserve"> criteria</w:t>
      </w:r>
      <w:r w:rsidRPr="00DE65FE">
        <w:t xml:space="preserve"> within the Professional Standards Department (PSD) database. </w:t>
      </w:r>
    </w:p>
    <w:p w:rsidR="00F55B4C" w:rsidRDefault="00F55B4C" w:rsidP="00F55B4C">
      <w:r w:rsidRPr="00DE65FE">
        <w:t xml:space="preserve">Once complaint matters are concluded, the circumstances may be referred for a Conduct Assessment (not necessarily every aspect of the complaint, or every officer involved). </w:t>
      </w:r>
    </w:p>
    <w:p w:rsidR="00F55B4C" w:rsidRPr="00DE65FE" w:rsidRDefault="00F55B4C" w:rsidP="00F55B4C">
      <w:r w:rsidRPr="00DE65FE">
        <w:t>There is potential for the same officer/</w:t>
      </w:r>
      <w:r>
        <w:t xml:space="preserve"> </w:t>
      </w:r>
      <w:r w:rsidRPr="00DE65FE">
        <w:t xml:space="preserve">circumstances to appear on a complaint case and a conduct case. </w:t>
      </w:r>
      <w:r>
        <w:t xml:space="preserve"> </w:t>
      </w:r>
      <w:r w:rsidR="00276BA9">
        <w:t xml:space="preserve">Due to these processes, </w:t>
      </w:r>
      <w:r w:rsidRPr="00DE65FE">
        <w:t xml:space="preserve">complaints and conduct matters cannot simply be added together. </w:t>
      </w:r>
    </w:p>
    <w:p w:rsidR="00F55B4C" w:rsidRDefault="00F55B4C" w:rsidP="00F55B4C">
      <w:r w:rsidRPr="00DE65FE">
        <w:t xml:space="preserve">There can be one or more allegations contained within one complaint case and equally, there can be one or more subject officers relative to each allegation. </w:t>
      </w:r>
    </w:p>
    <w:p w:rsidR="00F55B4C" w:rsidRDefault="00F55B4C" w:rsidP="00F55B4C">
      <w:r w:rsidRPr="00DE65FE">
        <w:t xml:space="preserve">Conduct cases may contain multiple allegations, but are limited to one subject officer per case. </w:t>
      </w:r>
    </w:p>
    <w:p w:rsidR="00F55B4C" w:rsidRPr="00DE65FE" w:rsidRDefault="00F55B4C" w:rsidP="00F55B4C">
      <w:r w:rsidRPr="00DE65FE">
        <w:t>Subject officers are counted once per case, however the same officer may be subject to multiple cases and therefore may appear more than once.</w:t>
      </w:r>
    </w:p>
    <w:p w:rsidR="00F55B4C" w:rsidRDefault="00F55B4C">
      <w:pPr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br w:type="page"/>
      </w:r>
    </w:p>
    <w:p w:rsidR="00DE65FE" w:rsidRPr="00DE65FE" w:rsidRDefault="00DE65FE" w:rsidP="00DE65F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E65FE">
        <w:rPr>
          <w:rFonts w:eastAsiaTheme="majorEastAsia" w:cstheme="majorBidi"/>
          <w:b/>
          <w:color w:val="000000" w:themeColor="text1"/>
          <w:szCs w:val="26"/>
        </w:rPr>
        <w:lastRenderedPageBreak/>
        <w:t>Could you please tell me, in each calendar year from 2017-2021 (inclusive):</w:t>
      </w:r>
    </w:p>
    <w:p w:rsidR="00DE65FE" w:rsidRPr="00DE65FE" w:rsidRDefault="00DE65FE" w:rsidP="00DE65FE">
      <w:pPr>
        <w:pStyle w:val="Heading2"/>
        <w:numPr>
          <w:ilvl w:val="0"/>
          <w:numId w:val="2"/>
        </w:numPr>
        <w:ind w:left="360"/>
      </w:pPr>
      <w:r w:rsidRPr="00DE65FE">
        <w:t>The number of police officers at your force who received an allegation of sexual misconduct or any other sexual offence.</w:t>
      </w:r>
    </w:p>
    <w:p w:rsidR="00DE65FE" w:rsidRPr="00DE65FE" w:rsidRDefault="00DE65FE" w:rsidP="00DE65FE">
      <w:pPr>
        <w:pStyle w:val="Heading2"/>
        <w:numPr>
          <w:ilvl w:val="0"/>
          <w:numId w:val="2"/>
        </w:numPr>
        <w:ind w:left="360"/>
      </w:pPr>
      <w:r w:rsidRPr="00DE65FE">
        <w:t>The number of police officers who received such an allegation in each year, broken down by gender.</w:t>
      </w:r>
    </w:p>
    <w:p w:rsidR="00276BA9" w:rsidRPr="00014F7A" w:rsidRDefault="00276BA9" w:rsidP="00276BA9">
      <w:pPr>
        <w:rPr>
          <w:color w:val="FF0000"/>
        </w:rPr>
      </w:pPr>
      <w:r>
        <w:t xml:space="preserve">Please note that there is no recording criteria of ‘sexual misconduct’ on the Professional Standards database however </w:t>
      </w:r>
      <w:r w:rsidRPr="00276BA9">
        <w:t>a sexual circumstance marker is applied to any allegation relating to the on or off duty conduct of a Police Scotland officer to which an element of sexual motivation is, or could be, attributed.</w:t>
      </w:r>
      <w:r>
        <w:t xml:space="preserve">  This can include contact and non-contact allegations, including inappropriate comments.</w:t>
      </w:r>
    </w:p>
    <w:p w:rsidR="00005F71" w:rsidRDefault="00142C21" w:rsidP="00DE65FE">
      <w:r>
        <w:t>For questions a and b, d</w:t>
      </w:r>
      <w:r w:rsidR="00DE65FE" w:rsidRPr="00DE65FE">
        <w:t xml:space="preserve">ata has been provided in relation to Police officers </w:t>
      </w:r>
      <w:r w:rsidR="004B20A7">
        <w:t xml:space="preserve">subject of </w:t>
      </w:r>
      <w:r w:rsidR="00DE65FE" w:rsidRPr="00DE65FE">
        <w:t>allegations involving a sexual circumstance, received between 01/01/2017 – 31/12/2022 inclusive.</w:t>
      </w:r>
    </w:p>
    <w:p w:rsidR="00DE65FE" w:rsidRDefault="00DE65FE" w:rsidP="00DE65FE">
      <w:r w:rsidRPr="00DE65FE">
        <w:t>Please note</w:t>
      </w:r>
      <w:r w:rsidR="00276BA9">
        <w:t>, as previously mentioned,</w:t>
      </w:r>
      <w:r w:rsidRPr="00DE65FE">
        <w:t xml:space="preserve"> that subject officers are counted once per case. Each case may involve multiple allegations and (for complaints only) each allegation may be linked to multiple subject officers. </w:t>
      </w:r>
    </w:p>
    <w:p w:rsidR="00DE65FE" w:rsidRPr="00F55B4C" w:rsidRDefault="00DE65FE" w:rsidP="00DE65FE">
      <w:r w:rsidRPr="00DE65FE">
        <w:t>Furthermore, unidentified officers are excluded from the breakdown of subject officers a</w:t>
      </w:r>
      <w:r w:rsidR="00276BA9">
        <w:t>s</w:t>
      </w:r>
      <w:r w:rsidRPr="00DE65FE">
        <w:t xml:space="preserve"> they have not been positively iden</w:t>
      </w:r>
      <w:r w:rsidR="00276BA9">
        <w:t xml:space="preserve">tified. The data provided </w:t>
      </w:r>
      <w:r w:rsidRPr="00DE65FE">
        <w:t>refers, separatel</w:t>
      </w:r>
      <w:r w:rsidR="0075779C">
        <w:t>y, to officers subject to</w:t>
      </w:r>
      <w:r w:rsidRPr="00DE65FE">
        <w:t xml:space="preserve"> relevant allegations attached to complaints and conduct cases.</w:t>
      </w:r>
    </w:p>
    <w:p w:rsidR="00DE65FE" w:rsidRPr="00DE65FE" w:rsidRDefault="00DE65FE" w:rsidP="00DE65FE">
      <w:pPr>
        <w:rPr>
          <w:i/>
          <w:iCs/>
          <w:lang w:val="en-US"/>
        </w:rPr>
      </w:pPr>
      <w:r w:rsidRPr="00DE65FE">
        <w:rPr>
          <w:i/>
          <w:iCs/>
          <w:lang w:val="en-US"/>
        </w:rPr>
        <w:t xml:space="preserve">Table: Police </w:t>
      </w:r>
      <w:r w:rsidRPr="004B20A7">
        <w:rPr>
          <w:i/>
          <w:iCs/>
          <w:lang w:val="en-US"/>
        </w:rPr>
        <w:t xml:space="preserve">officers </w:t>
      </w:r>
      <w:r w:rsidR="004B20A7" w:rsidRPr="004B20A7">
        <w:rPr>
          <w:i/>
          <w:iCs/>
          <w:lang w:val="en-US"/>
        </w:rPr>
        <w:t>subject of</w:t>
      </w:r>
      <w:r w:rsidRPr="004B20A7">
        <w:rPr>
          <w:i/>
          <w:iCs/>
          <w:lang w:val="en-US"/>
        </w:rPr>
        <w:t xml:space="preserve"> </w:t>
      </w:r>
      <w:r w:rsidRPr="00DE65FE">
        <w:rPr>
          <w:i/>
          <w:iCs/>
          <w:lang w:val="en-US"/>
        </w:rPr>
        <w:t xml:space="preserve">allegations involving a sexual circumstance (Complaints), by </w:t>
      </w:r>
      <w:r>
        <w:rPr>
          <w:i/>
          <w:iCs/>
          <w:lang w:val="en-US"/>
        </w:rPr>
        <w:t xml:space="preserve">sex and </w:t>
      </w:r>
      <w:r w:rsidRPr="00DE65FE">
        <w:rPr>
          <w:i/>
          <w:iCs/>
          <w:lang w:val="en-US"/>
        </w:rPr>
        <w:t xml:space="preserve">calendar year received </w:t>
      </w:r>
      <w:r w:rsidR="00276BA9">
        <w:rPr>
          <w:i/>
          <w:iCs/>
          <w:vertAlign w:val="superscript"/>
          <w:lang w:val="en-US"/>
        </w:rPr>
        <w:t>1</w:t>
      </w:r>
      <w:r w:rsidRPr="00DE65FE">
        <w:rPr>
          <w:i/>
          <w:iCs/>
          <w:vertAlign w:val="superscript"/>
          <w:lang w:val="en-US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925"/>
        <w:gridCol w:w="925"/>
        <w:gridCol w:w="925"/>
        <w:gridCol w:w="925"/>
        <w:gridCol w:w="925"/>
        <w:gridCol w:w="925"/>
      </w:tblGrid>
      <w:tr w:rsidR="00DE65FE" w:rsidRPr="00DE65FE" w:rsidTr="00DE65FE">
        <w:trPr>
          <w:trHeight w:val="315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Police Officers by Sex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2017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2018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2019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2020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2021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2022</w:t>
            </w:r>
          </w:p>
        </w:tc>
      </w:tr>
      <w:tr w:rsidR="00DE65FE" w:rsidTr="00DE65F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Female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5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</w:t>
            </w:r>
          </w:p>
        </w:tc>
      </w:tr>
      <w:tr w:rsidR="00DE65FE" w:rsidTr="00DE65F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Male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27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16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18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22</w:t>
            </w:r>
          </w:p>
        </w:tc>
      </w:tr>
      <w:tr w:rsidR="00DE65FE" w:rsidTr="00DE65FE">
        <w:trPr>
          <w:trHeight w:val="315"/>
        </w:trPr>
        <w:tc>
          <w:tcPr>
            <w:tcW w:w="3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Grand Total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19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25</w:t>
            </w:r>
          </w:p>
        </w:tc>
      </w:tr>
    </w:tbl>
    <w:p w:rsidR="00DE65FE" w:rsidRDefault="00DE65FE" w:rsidP="00DE65FE">
      <w:pPr>
        <w:rPr>
          <w:i/>
          <w:iCs/>
          <w:lang w:val="en-US"/>
        </w:rPr>
      </w:pPr>
      <w:r w:rsidRPr="00DE65FE">
        <w:rPr>
          <w:i/>
          <w:sz w:val="20"/>
        </w:rPr>
        <w:t>1 Data is based on the case received date.</w:t>
      </w:r>
      <w:r w:rsidR="00005F71">
        <w:rPr>
          <w:i/>
          <w:iCs/>
          <w:lang w:val="en-US"/>
        </w:rPr>
        <w:t xml:space="preserve"> </w:t>
      </w:r>
    </w:p>
    <w:p w:rsidR="00DE65FE" w:rsidRDefault="00DE65FE">
      <w:pPr>
        <w:rPr>
          <w:i/>
          <w:iCs/>
          <w:lang w:val="en-US"/>
        </w:rPr>
      </w:pPr>
      <w:r>
        <w:rPr>
          <w:i/>
          <w:iCs/>
          <w:lang w:val="en-US"/>
        </w:rPr>
        <w:br w:type="page"/>
      </w:r>
    </w:p>
    <w:p w:rsidR="00DE65FE" w:rsidRPr="00DE65FE" w:rsidRDefault="00DE65FE" w:rsidP="00DE65FE">
      <w:pPr>
        <w:rPr>
          <w:i/>
          <w:iCs/>
          <w:lang w:val="en-US"/>
        </w:rPr>
      </w:pPr>
      <w:r w:rsidRPr="00DE65FE">
        <w:rPr>
          <w:i/>
          <w:iCs/>
          <w:lang w:val="en-US"/>
        </w:rPr>
        <w:lastRenderedPageBreak/>
        <w:t xml:space="preserve">Table: Police </w:t>
      </w:r>
      <w:r w:rsidRPr="004B20A7">
        <w:rPr>
          <w:i/>
          <w:iCs/>
          <w:lang w:val="en-US"/>
        </w:rPr>
        <w:t xml:space="preserve">officers </w:t>
      </w:r>
      <w:r w:rsidR="004B20A7" w:rsidRPr="004B20A7">
        <w:rPr>
          <w:i/>
          <w:iCs/>
          <w:lang w:val="en-US"/>
        </w:rPr>
        <w:t>subject of</w:t>
      </w:r>
      <w:r w:rsidRPr="004B20A7">
        <w:rPr>
          <w:i/>
          <w:iCs/>
          <w:lang w:val="en-US"/>
        </w:rPr>
        <w:t xml:space="preserve"> allegations </w:t>
      </w:r>
      <w:r w:rsidRPr="00DE65FE">
        <w:rPr>
          <w:i/>
          <w:iCs/>
          <w:lang w:val="en-US"/>
        </w:rPr>
        <w:t xml:space="preserve">involving a sexual circumstance (Conduct), by </w:t>
      </w:r>
      <w:r>
        <w:rPr>
          <w:i/>
          <w:iCs/>
          <w:lang w:val="en-US"/>
        </w:rPr>
        <w:t xml:space="preserve">sex and </w:t>
      </w:r>
      <w:r w:rsidRPr="00DE65FE">
        <w:rPr>
          <w:i/>
          <w:iCs/>
          <w:lang w:val="en-US"/>
        </w:rPr>
        <w:t xml:space="preserve">calendar year received </w:t>
      </w:r>
      <w:r w:rsidRPr="00DE65FE">
        <w:rPr>
          <w:i/>
          <w:iCs/>
          <w:vertAlign w:val="superscript"/>
          <w:lang w:val="en-US"/>
        </w:rPr>
        <w:t xml:space="preserve">1 2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960"/>
        <w:gridCol w:w="960"/>
        <w:gridCol w:w="960"/>
        <w:gridCol w:w="960"/>
        <w:gridCol w:w="960"/>
        <w:gridCol w:w="960"/>
      </w:tblGrid>
      <w:tr w:rsidR="00DE65FE" w:rsidRPr="00DE65FE" w:rsidTr="00DE65FE">
        <w:trPr>
          <w:trHeight w:val="31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Police Officers by Sex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2017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2018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2019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2022</w:t>
            </w:r>
          </w:p>
        </w:tc>
      </w:tr>
      <w:tr w:rsidR="00DE65FE" w:rsidTr="00DE65FE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Female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5</w:t>
            </w:r>
          </w:p>
        </w:tc>
      </w:tr>
      <w:tr w:rsidR="00DE65FE" w:rsidTr="00DE65FE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39</w:t>
            </w:r>
          </w:p>
        </w:tc>
      </w:tr>
      <w:tr w:rsidR="00DE65FE" w:rsidTr="00DE65FE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Grand Total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44</w:t>
            </w:r>
          </w:p>
        </w:tc>
      </w:tr>
    </w:tbl>
    <w:p w:rsidR="00DE65FE" w:rsidRPr="00DE65FE" w:rsidRDefault="00DE65FE" w:rsidP="00DE65FE">
      <w:pPr>
        <w:rPr>
          <w:i/>
          <w:sz w:val="20"/>
        </w:rPr>
      </w:pPr>
      <w:r w:rsidRPr="00DE65FE">
        <w:rPr>
          <w:i/>
          <w:sz w:val="20"/>
        </w:rPr>
        <w:t xml:space="preserve">1 Data is based on the case received date. </w:t>
      </w:r>
      <w:r w:rsidRPr="00DE65FE">
        <w:rPr>
          <w:i/>
          <w:sz w:val="20"/>
        </w:rPr>
        <w:br/>
        <w:t>2 Subject officers may be linked to multiple allegations. Therefore, the number of officers may vary from the number of allegations. Subject officers are counted once per case.</w:t>
      </w:r>
    </w:p>
    <w:p w:rsidR="00DE65FE" w:rsidRPr="00DE65FE" w:rsidRDefault="00DE65FE" w:rsidP="00DE65FE">
      <w:pPr>
        <w:pStyle w:val="Heading2"/>
        <w:numPr>
          <w:ilvl w:val="0"/>
          <w:numId w:val="2"/>
        </w:numPr>
        <w:ind w:left="360"/>
      </w:pPr>
      <w:r w:rsidRPr="00DE65FE">
        <w:t>The number of police officers who received such an allegation in each year that were subsequently suspended or placed on restricted duties.</w:t>
      </w:r>
    </w:p>
    <w:p w:rsidR="00DE65FE" w:rsidRDefault="00DE65FE" w:rsidP="00DE65FE">
      <w:r w:rsidRPr="00DE65FE">
        <w:t xml:space="preserve">Please note that an individual officer may serve a single suspension or restriction in relation to multiple cases. </w:t>
      </w:r>
    </w:p>
    <w:p w:rsidR="00DE65FE" w:rsidRDefault="00DE65FE" w:rsidP="00DE65FE">
      <w:r w:rsidRPr="00DE65FE">
        <w:t xml:space="preserve">Likewise, an individual officer may serve multiple (i.e. separate) suspensions or restrictions within the data presented below. </w:t>
      </w:r>
    </w:p>
    <w:p w:rsidR="00DE65FE" w:rsidRPr="00DE65FE" w:rsidRDefault="00DE65FE" w:rsidP="00DE65FE">
      <w:r w:rsidRPr="00DE65FE">
        <w:t xml:space="preserve">Furthermore, an officer may be </w:t>
      </w:r>
      <w:r w:rsidR="0075779C">
        <w:t>subject to</w:t>
      </w:r>
      <w:r w:rsidRPr="00DE65FE">
        <w:t xml:space="preserve"> multiple allegations, therefore the number of officers may vary from the number of allegations. </w:t>
      </w:r>
    </w:p>
    <w:p w:rsidR="00DE65FE" w:rsidRPr="00DE65FE" w:rsidRDefault="00DE65FE" w:rsidP="00DE65FE">
      <w:pPr>
        <w:rPr>
          <w:i/>
          <w:iCs/>
          <w:lang w:val="en-US"/>
        </w:rPr>
      </w:pPr>
      <w:r w:rsidRPr="00DE65FE">
        <w:rPr>
          <w:i/>
          <w:iCs/>
          <w:lang w:val="en-US"/>
        </w:rPr>
        <w:t xml:space="preserve">Table: Police officers </w:t>
      </w:r>
      <w:r w:rsidR="004B20A7" w:rsidRPr="004B20A7">
        <w:rPr>
          <w:i/>
          <w:iCs/>
          <w:lang w:val="en-US"/>
        </w:rPr>
        <w:t>subject of</w:t>
      </w:r>
      <w:r w:rsidRPr="004B20A7">
        <w:rPr>
          <w:i/>
          <w:iCs/>
          <w:lang w:val="en-US"/>
        </w:rPr>
        <w:t xml:space="preserve"> allegations </w:t>
      </w:r>
      <w:r w:rsidRPr="00DE65FE">
        <w:rPr>
          <w:i/>
          <w:iCs/>
          <w:lang w:val="en-US"/>
        </w:rPr>
        <w:t xml:space="preserve">involving a sexual circumstance (Complaints), by duty status and calendar year received </w:t>
      </w:r>
      <w:r w:rsidRPr="00DE65FE">
        <w:rPr>
          <w:i/>
          <w:iCs/>
          <w:vertAlign w:val="superscript"/>
          <w:lang w:val="en-US"/>
        </w:rPr>
        <w:t xml:space="preserve">1 2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925"/>
        <w:gridCol w:w="925"/>
        <w:gridCol w:w="925"/>
        <w:gridCol w:w="925"/>
        <w:gridCol w:w="925"/>
        <w:gridCol w:w="925"/>
      </w:tblGrid>
      <w:tr w:rsidR="00DE65FE" w:rsidRPr="00DE65FE" w:rsidTr="00DE65FE">
        <w:trPr>
          <w:trHeight w:val="31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Duty Status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2017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2018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2019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2020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2021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2022</w:t>
            </w:r>
          </w:p>
        </w:tc>
      </w:tr>
      <w:tr w:rsidR="00DE65FE" w:rsidRPr="00DE65FE" w:rsidTr="00DE65FE">
        <w:trPr>
          <w:trHeight w:val="315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Suspended or Restricted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4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</w:tr>
    </w:tbl>
    <w:p w:rsidR="00005F71" w:rsidRDefault="00DE65FE" w:rsidP="00DE65FE">
      <w:pPr>
        <w:rPr>
          <w:i/>
          <w:sz w:val="20"/>
        </w:rPr>
      </w:pPr>
      <w:r w:rsidRPr="00DE65FE">
        <w:rPr>
          <w:i/>
          <w:sz w:val="20"/>
        </w:rPr>
        <w:t xml:space="preserve">1 Data is based on the case received date. This may vary from the date of suspension. </w:t>
      </w:r>
      <w:r w:rsidRPr="00DE65FE">
        <w:rPr>
          <w:i/>
          <w:sz w:val="20"/>
        </w:rPr>
        <w:br/>
        <w:t xml:space="preserve">2 Multiple officers may </w:t>
      </w:r>
      <w:r w:rsidR="0075779C">
        <w:rPr>
          <w:i/>
          <w:sz w:val="20"/>
        </w:rPr>
        <w:t>subject</w:t>
      </w:r>
      <w:r w:rsidRPr="00DE65FE">
        <w:rPr>
          <w:i/>
          <w:sz w:val="20"/>
        </w:rPr>
        <w:t xml:space="preserve"> to a single allegation and each case may involve multiple allegations. Therefore, the number of officers may vary from the number of allegations. Subject officers are counted once per case.</w:t>
      </w:r>
    </w:p>
    <w:p w:rsidR="00005F71" w:rsidRDefault="00005F71">
      <w:pPr>
        <w:rPr>
          <w:i/>
          <w:sz w:val="20"/>
        </w:rPr>
      </w:pPr>
      <w:r>
        <w:rPr>
          <w:i/>
          <w:sz w:val="20"/>
        </w:rPr>
        <w:br w:type="page"/>
      </w:r>
    </w:p>
    <w:p w:rsidR="00DE65FE" w:rsidRPr="00DE65FE" w:rsidRDefault="00DE65FE" w:rsidP="00DE65FE">
      <w:pPr>
        <w:rPr>
          <w:i/>
          <w:iCs/>
          <w:lang w:val="en-US"/>
        </w:rPr>
      </w:pPr>
      <w:r w:rsidRPr="00DE65FE">
        <w:rPr>
          <w:i/>
          <w:iCs/>
          <w:lang w:val="en-US"/>
        </w:rPr>
        <w:lastRenderedPageBreak/>
        <w:t xml:space="preserve">Table: Police </w:t>
      </w:r>
      <w:r w:rsidRPr="004B20A7">
        <w:rPr>
          <w:i/>
          <w:iCs/>
          <w:lang w:val="en-US"/>
        </w:rPr>
        <w:t xml:space="preserve">officers </w:t>
      </w:r>
      <w:r w:rsidR="004B20A7" w:rsidRPr="004B20A7">
        <w:rPr>
          <w:i/>
          <w:iCs/>
          <w:lang w:val="en-US"/>
        </w:rPr>
        <w:t>subject of</w:t>
      </w:r>
      <w:r w:rsidRPr="004B20A7">
        <w:rPr>
          <w:i/>
          <w:iCs/>
          <w:lang w:val="en-US"/>
        </w:rPr>
        <w:t xml:space="preserve"> allegations </w:t>
      </w:r>
      <w:r w:rsidRPr="00DE65FE">
        <w:rPr>
          <w:i/>
          <w:iCs/>
          <w:lang w:val="en-US"/>
        </w:rPr>
        <w:t xml:space="preserve">involving a sexual circumstance (Conduct), by duty status and calendar year received </w:t>
      </w:r>
      <w:r w:rsidRPr="00DE65FE">
        <w:rPr>
          <w:i/>
          <w:iCs/>
          <w:vertAlign w:val="superscript"/>
          <w:lang w:val="en-US"/>
        </w:rPr>
        <w:t xml:space="preserve">1 2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929"/>
        <w:gridCol w:w="929"/>
        <w:gridCol w:w="929"/>
        <w:gridCol w:w="929"/>
        <w:gridCol w:w="929"/>
        <w:gridCol w:w="929"/>
      </w:tblGrid>
      <w:tr w:rsidR="00DE65FE" w:rsidRPr="00DE65FE" w:rsidTr="00DE65FE">
        <w:trPr>
          <w:trHeight w:val="286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Duty Status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2017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2018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2019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2020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2021</w:t>
            </w:r>
          </w:p>
        </w:tc>
        <w:tc>
          <w:tcPr>
            <w:tcW w:w="9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2022</w:t>
            </w:r>
          </w:p>
        </w:tc>
      </w:tr>
      <w:tr w:rsidR="00DE65FE" w:rsidRPr="00DE65FE" w:rsidTr="00DE65FE">
        <w:trPr>
          <w:trHeight w:val="286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Suspended or Restricted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30</w:t>
            </w:r>
          </w:p>
        </w:tc>
      </w:tr>
    </w:tbl>
    <w:p w:rsidR="00DE65FE" w:rsidRPr="00DE65FE" w:rsidRDefault="00DE65FE" w:rsidP="00DE65FE">
      <w:pPr>
        <w:rPr>
          <w:i/>
          <w:sz w:val="20"/>
        </w:rPr>
      </w:pPr>
      <w:r w:rsidRPr="00DE65FE">
        <w:rPr>
          <w:i/>
          <w:sz w:val="20"/>
        </w:rPr>
        <w:t xml:space="preserve">1 Data is based on the case received date. This may vary from the date of suspension. </w:t>
      </w:r>
      <w:r w:rsidRPr="00DE65FE">
        <w:rPr>
          <w:i/>
          <w:sz w:val="20"/>
        </w:rPr>
        <w:br/>
        <w:t xml:space="preserve">2 Multiple officers may </w:t>
      </w:r>
      <w:r w:rsidR="0075779C">
        <w:rPr>
          <w:i/>
          <w:sz w:val="20"/>
        </w:rPr>
        <w:t>be subject</w:t>
      </w:r>
      <w:r w:rsidRPr="00DE65FE">
        <w:rPr>
          <w:i/>
          <w:sz w:val="20"/>
        </w:rPr>
        <w:t xml:space="preserve"> to a single allegation and each case may involve multiple allegations. Therefore, the number of officers may vary from the number of allegations. Subject officers are counted once per case.</w:t>
      </w:r>
    </w:p>
    <w:p w:rsidR="00DE65FE" w:rsidRPr="00DE65FE" w:rsidRDefault="00DE65FE" w:rsidP="00DE65FE">
      <w:pPr>
        <w:pStyle w:val="Heading2"/>
        <w:numPr>
          <w:ilvl w:val="0"/>
          <w:numId w:val="2"/>
        </w:numPr>
        <w:ind w:left="360"/>
      </w:pPr>
      <w:r w:rsidRPr="00DE65FE">
        <w:t>Where possible, the number of officers who received such an allegation in each year, broken down by result against the officer (dismissal, no further action taken, etc)</w:t>
      </w:r>
    </w:p>
    <w:p w:rsidR="00DE65FE" w:rsidRPr="00DE65FE" w:rsidRDefault="00DE65FE" w:rsidP="00DE65FE">
      <w:r w:rsidRPr="00DE65FE">
        <w:t>Please note that cases received may remain subject to live enquiry and/or pending legal proceedings, therefore may not yet be concluded.</w:t>
      </w:r>
      <w:r w:rsidR="00005F71">
        <w:t xml:space="preserve">  </w:t>
      </w:r>
      <w:r w:rsidRPr="00DE65FE">
        <w:t>For the purposes of this request and consistency with the above responses, data regarding case outcomes for each subject officer has been provided below.</w:t>
      </w:r>
      <w:r w:rsidR="00944149">
        <w:t xml:space="preserve">  </w:t>
      </w:r>
      <w:r w:rsidRPr="00DE65FE">
        <w:t xml:space="preserve">These are based on the most severe disposal linked to allegations on each case which involve a sexual circumstance. </w:t>
      </w:r>
    </w:p>
    <w:p w:rsidR="00DE65FE" w:rsidRPr="00DE65FE" w:rsidRDefault="00DE65FE" w:rsidP="00DE65FE">
      <w:pPr>
        <w:rPr>
          <w:i/>
          <w:iCs/>
          <w:lang w:val="en-US"/>
        </w:rPr>
      </w:pPr>
      <w:r w:rsidRPr="00DE65FE">
        <w:rPr>
          <w:i/>
          <w:iCs/>
          <w:lang w:val="en-US"/>
        </w:rPr>
        <w:t xml:space="preserve">Table: Case Disposals for Police </w:t>
      </w:r>
      <w:r w:rsidRPr="004B20A7">
        <w:rPr>
          <w:i/>
          <w:iCs/>
          <w:lang w:val="en-US"/>
        </w:rPr>
        <w:t xml:space="preserve">officers </w:t>
      </w:r>
      <w:r w:rsidR="004B20A7" w:rsidRPr="004B20A7">
        <w:rPr>
          <w:i/>
          <w:iCs/>
          <w:lang w:val="en-US"/>
        </w:rPr>
        <w:t>subject of</w:t>
      </w:r>
      <w:r w:rsidRPr="004B20A7">
        <w:rPr>
          <w:i/>
          <w:iCs/>
          <w:lang w:val="en-US"/>
        </w:rPr>
        <w:t xml:space="preserve"> allegations </w:t>
      </w:r>
      <w:r w:rsidRPr="00DE65FE">
        <w:rPr>
          <w:i/>
          <w:iCs/>
          <w:lang w:val="en-US"/>
        </w:rPr>
        <w:t xml:space="preserve">involving a sexual circumstance (Complaints), by calendar year received </w:t>
      </w:r>
      <w:r w:rsidRPr="00DE65FE">
        <w:rPr>
          <w:i/>
          <w:iCs/>
          <w:vertAlign w:val="superscript"/>
          <w:lang w:val="en-US"/>
        </w:rPr>
        <w:t>1 2 3 4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8"/>
        <w:gridCol w:w="950"/>
        <w:gridCol w:w="950"/>
        <w:gridCol w:w="950"/>
        <w:gridCol w:w="950"/>
        <w:gridCol w:w="950"/>
        <w:gridCol w:w="950"/>
      </w:tblGrid>
      <w:tr w:rsidR="00DE65FE" w:rsidRPr="00DE65FE" w:rsidTr="00DE65FE">
        <w:trPr>
          <w:trHeight w:val="315"/>
        </w:trPr>
        <w:tc>
          <w:tcPr>
            <w:tcW w:w="3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Case Disposal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2017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2018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2019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2020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2021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2022</w:t>
            </w:r>
          </w:p>
        </w:tc>
      </w:tr>
      <w:tr w:rsidR="00DE65FE" w:rsidRPr="00DE65FE" w:rsidTr="00DE65F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Formal Action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DE65F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No Action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11</w:t>
            </w:r>
          </w:p>
        </w:tc>
      </w:tr>
      <w:tr w:rsidR="00DE65FE" w:rsidRPr="00DE65FE" w:rsidTr="00DE65F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Ongoing - not yet resulted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14</w:t>
            </w:r>
          </w:p>
        </w:tc>
      </w:tr>
      <w:tr w:rsidR="00DE65FE" w:rsidRPr="00DE65FE" w:rsidTr="00DE65F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Retired/Resigned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DE65FE">
        <w:trPr>
          <w:trHeight w:val="315"/>
        </w:trPr>
        <w:tc>
          <w:tcPr>
            <w:tcW w:w="3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Grand Total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25</w:t>
            </w:r>
          </w:p>
        </w:tc>
      </w:tr>
    </w:tbl>
    <w:p w:rsidR="00DE65FE" w:rsidRPr="00DE65FE" w:rsidRDefault="00DE65FE" w:rsidP="00DE65FE">
      <w:pPr>
        <w:rPr>
          <w:i/>
          <w:sz w:val="20"/>
        </w:rPr>
      </w:pPr>
      <w:r w:rsidRPr="00DE65FE">
        <w:rPr>
          <w:i/>
          <w:sz w:val="20"/>
        </w:rPr>
        <w:t xml:space="preserve">1 Data is based on the case received date. </w:t>
      </w:r>
      <w:r>
        <w:rPr>
          <w:i/>
          <w:sz w:val="20"/>
        </w:rPr>
        <w:br/>
        <w:t xml:space="preserve">2 </w:t>
      </w:r>
      <w:r w:rsidRPr="00DE65FE">
        <w:rPr>
          <w:i/>
          <w:sz w:val="20"/>
        </w:rPr>
        <w:t xml:space="preserve">Multiple officers may be </w:t>
      </w:r>
      <w:r w:rsidR="0040300A">
        <w:rPr>
          <w:i/>
          <w:sz w:val="20"/>
        </w:rPr>
        <w:t>subject</w:t>
      </w:r>
      <w:r w:rsidRPr="00DE65FE">
        <w:rPr>
          <w:i/>
          <w:sz w:val="20"/>
        </w:rPr>
        <w:t xml:space="preserve"> to a single allegation and each case may involve multiple allegations. Therefore, the number of officers may vary from the number of allegations. Subject officers are counted o</w:t>
      </w:r>
      <w:r>
        <w:rPr>
          <w:i/>
          <w:sz w:val="20"/>
        </w:rPr>
        <w:t>nce per</w:t>
      </w:r>
      <w:r w:rsidRPr="00DE65FE">
        <w:rPr>
          <w:i/>
          <w:sz w:val="20"/>
        </w:rPr>
        <w:t xml:space="preserve"> case.</w:t>
      </w:r>
      <w:r>
        <w:rPr>
          <w:i/>
          <w:sz w:val="20"/>
        </w:rPr>
        <w:br/>
        <w:t xml:space="preserve">3 </w:t>
      </w:r>
      <w:r w:rsidRPr="00DE65FE">
        <w:rPr>
          <w:i/>
          <w:sz w:val="20"/>
        </w:rPr>
        <w:t>Unidentified officers are excluded from the table above.</w:t>
      </w:r>
      <w:r>
        <w:rPr>
          <w:i/>
          <w:sz w:val="20"/>
        </w:rPr>
        <w:br/>
        <w:t xml:space="preserve">4 </w:t>
      </w:r>
      <w:r w:rsidRPr="00DE65FE">
        <w:rPr>
          <w:i/>
          <w:sz w:val="20"/>
        </w:rPr>
        <w:t>Cases may remain subject to live enquiry an</w:t>
      </w:r>
      <w:r w:rsidR="00F55B4C">
        <w:rPr>
          <w:i/>
          <w:sz w:val="20"/>
        </w:rPr>
        <w:t xml:space="preserve">d/or pending legal proceedings and </w:t>
      </w:r>
      <w:r w:rsidRPr="00DE65FE">
        <w:rPr>
          <w:i/>
          <w:sz w:val="20"/>
        </w:rPr>
        <w:t xml:space="preserve">may not yet be concluded. </w:t>
      </w:r>
    </w:p>
    <w:p w:rsidR="00DE65FE" w:rsidRPr="00F55B4C" w:rsidRDefault="00DE65FE" w:rsidP="00DE65FE">
      <w:pPr>
        <w:rPr>
          <w:i/>
          <w:iCs/>
          <w:lang w:val="en-US"/>
        </w:rPr>
      </w:pPr>
      <w:r w:rsidRPr="00DE65FE">
        <w:rPr>
          <w:i/>
          <w:iCs/>
          <w:lang w:val="en-US"/>
        </w:rPr>
        <w:lastRenderedPageBreak/>
        <w:t xml:space="preserve">Table: Case Disposals for Police officers </w:t>
      </w:r>
      <w:r w:rsidR="0040300A">
        <w:rPr>
          <w:i/>
          <w:iCs/>
          <w:lang w:val="en-US"/>
        </w:rPr>
        <w:t>subject</w:t>
      </w:r>
      <w:r w:rsidRPr="00DE65FE">
        <w:rPr>
          <w:i/>
          <w:iCs/>
          <w:lang w:val="en-US"/>
        </w:rPr>
        <w:t xml:space="preserve"> to allegations involving a sexual circumstance (Conduct), by calendar year received </w:t>
      </w:r>
      <w:r w:rsidRPr="00DE65FE">
        <w:rPr>
          <w:i/>
          <w:iCs/>
          <w:vertAlign w:val="superscript"/>
          <w:lang w:val="en-US"/>
        </w:rPr>
        <w:t xml:space="preserve">1 2 3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9"/>
        <w:gridCol w:w="936"/>
        <w:gridCol w:w="937"/>
        <w:gridCol w:w="937"/>
        <w:gridCol w:w="937"/>
        <w:gridCol w:w="937"/>
        <w:gridCol w:w="937"/>
      </w:tblGrid>
      <w:tr w:rsidR="00DE65FE" w:rsidRPr="00DE65FE" w:rsidTr="00F55B4C">
        <w:trPr>
          <w:trHeight w:val="20"/>
          <w:tblHeader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Case Disposal</w:t>
            </w: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2017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2018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2019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2020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2021</w:t>
            </w:r>
          </w:p>
        </w:tc>
        <w:tc>
          <w:tcPr>
            <w:tcW w:w="9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2022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Hearing - Demotion in Rank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Hearing - Dismissal With Notice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Hearing - Final Written Warning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Hearing - No Action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Hearing - Reduction in Rate of Pay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Hearing - Written Warning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Meeting - Final Written Warning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Meeting - No Action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Meeting - Verbal Warning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Meeting - Written Warning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Management Action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Counselled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Performance Regulations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No Action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0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Retired/Resigned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11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Ongoing - not yet concluded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13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</w:pPr>
            <w:r w:rsidRPr="00DE65FE">
              <w:t>32</w:t>
            </w:r>
          </w:p>
        </w:tc>
      </w:tr>
      <w:tr w:rsidR="00DE65FE" w:rsidRPr="00DE65FE" w:rsidTr="00F55B4C">
        <w:trPr>
          <w:trHeight w:val="20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Grand Total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35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17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42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39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34</w:t>
            </w:r>
          </w:p>
        </w:tc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65FE" w:rsidRPr="00DE65FE" w:rsidRDefault="00DE65FE" w:rsidP="00F55B4C">
            <w:pPr>
              <w:spacing w:line="276" w:lineRule="auto"/>
              <w:rPr>
                <w:b/>
                <w:bCs/>
              </w:rPr>
            </w:pPr>
            <w:r w:rsidRPr="00DE65FE">
              <w:rPr>
                <w:b/>
                <w:bCs/>
              </w:rPr>
              <w:t>44</w:t>
            </w:r>
          </w:p>
        </w:tc>
      </w:tr>
    </w:tbl>
    <w:p w:rsidR="00DE65FE" w:rsidRPr="00F55B4C" w:rsidRDefault="00F55B4C" w:rsidP="00DE65FE">
      <w:pPr>
        <w:rPr>
          <w:i/>
          <w:sz w:val="20"/>
        </w:rPr>
      </w:pPr>
      <w:r>
        <w:rPr>
          <w:i/>
          <w:sz w:val="20"/>
        </w:rPr>
        <w:t xml:space="preserve">1 </w:t>
      </w:r>
      <w:r w:rsidR="00DE65FE" w:rsidRPr="00F55B4C">
        <w:rPr>
          <w:i/>
          <w:sz w:val="20"/>
        </w:rPr>
        <w:t xml:space="preserve">Data is based on the case received date. </w:t>
      </w:r>
      <w:r>
        <w:rPr>
          <w:i/>
          <w:sz w:val="20"/>
        </w:rPr>
        <w:br/>
        <w:t xml:space="preserve">2 </w:t>
      </w:r>
      <w:r w:rsidR="0040300A">
        <w:rPr>
          <w:i/>
          <w:sz w:val="20"/>
        </w:rPr>
        <w:t>O</w:t>
      </w:r>
      <w:r w:rsidR="00DE65FE" w:rsidRPr="00F55B4C">
        <w:rPr>
          <w:i/>
          <w:sz w:val="20"/>
        </w:rPr>
        <w:t xml:space="preserve">fficers may be </w:t>
      </w:r>
      <w:r w:rsidR="0040300A">
        <w:rPr>
          <w:i/>
          <w:sz w:val="20"/>
        </w:rPr>
        <w:t>subject</w:t>
      </w:r>
      <w:r w:rsidR="00DE65FE" w:rsidRPr="00F55B4C">
        <w:rPr>
          <w:i/>
          <w:sz w:val="20"/>
        </w:rPr>
        <w:t xml:space="preserve"> to multiple allegations. Therefore, the number of officers may vary from the number of allegations. Subject officers are counted once per case.</w:t>
      </w:r>
      <w:r>
        <w:rPr>
          <w:i/>
          <w:sz w:val="20"/>
        </w:rPr>
        <w:br/>
      </w:r>
      <w:r w:rsidR="00DE65FE" w:rsidRPr="00F55B4C">
        <w:rPr>
          <w:i/>
          <w:sz w:val="20"/>
        </w:rPr>
        <w:t>3 Cases may remain subject to live enquiry a</w:t>
      </w:r>
      <w:r w:rsidR="00944149">
        <w:rPr>
          <w:i/>
          <w:sz w:val="20"/>
        </w:rPr>
        <w:t>nd/or pending legal proceedings</w:t>
      </w:r>
      <w:r w:rsidR="00DE65FE" w:rsidRPr="00F55B4C">
        <w:rPr>
          <w:i/>
          <w:sz w:val="20"/>
        </w:rPr>
        <w:t xml:space="preserve"> </w:t>
      </w:r>
      <w:r w:rsidR="00944149">
        <w:rPr>
          <w:i/>
          <w:sz w:val="20"/>
        </w:rPr>
        <w:t>and</w:t>
      </w:r>
      <w:r w:rsidR="00DE65FE" w:rsidRPr="00F55B4C">
        <w:rPr>
          <w:i/>
          <w:sz w:val="20"/>
        </w:rPr>
        <w:t xml:space="preserve"> may not yet be concluded. </w:t>
      </w:r>
    </w:p>
    <w:p w:rsidR="00DE65FE" w:rsidRPr="00DE65FE" w:rsidRDefault="00DE65FE" w:rsidP="00DE65FE">
      <w:pPr>
        <w:pStyle w:val="Heading2"/>
        <w:numPr>
          <w:ilvl w:val="0"/>
          <w:numId w:val="2"/>
        </w:numPr>
        <w:ind w:left="360"/>
      </w:pPr>
      <w:r w:rsidRPr="00DE65FE">
        <w:lastRenderedPageBreak/>
        <w:t>The number of officers who received such an allegation in each year, and were subsequently charged with an offence.</w:t>
      </w:r>
    </w:p>
    <w:p w:rsidR="00F55B4C" w:rsidRPr="00453F0A" w:rsidRDefault="00F55B4C" w:rsidP="000F4F01">
      <w:r w:rsidRPr="00453F0A">
        <w:t xml:space="preserve">I regret to inform you that I am unable to provide you with the information you have requested, as it would prove too costly to do so within the context of the fee regulations.  </w:t>
      </w:r>
    </w:p>
    <w:p w:rsidR="00F55B4C" w:rsidRDefault="00F55B4C" w:rsidP="000F4F01">
      <w:r w:rsidRPr="00453F0A">
        <w:t xml:space="preserve">As you may be aware the current cost threshold is £600 and I estimate that it would cost well in excess of this amount to process your request. </w:t>
      </w:r>
      <w:r>
        <w:t xml:space="preserve"> </w:t>
      </w:r>
    </w:p>
    <w:p w:rsidR="00F55B4C" w:rsidRPr="00453F0A" w:rsidRDefault="00F55B4C" w:rsidP="000F4F01">
      <w:r w:rsidRPr="00453F0A">
        <w:t xml:space="preserve">As such, and in terms of </w:t>
      </w:r>
      <w:r>
        <w:t>s</w:t>
      </w:r>
      <w:r w:rsidRPr="00453F0A">
        <w:t xml:space="preserve">ection 16(4) of the Act where </w:t>
      </w:r>
      <w:r>
        <w:t>s</w:t>
      </w:r>
      <w:r w:rsidRPr="00453F0A">
        <w:t>ection 12(1) (Excessive Cost of Compliance) has been applied, this represents a refusal notice for the information sought.</w:t>
      </w:r>
    </w:p>
    <w:p w:rsidR="00496A08" w:rsidRDefault="00F55B4C" w:rsidP="00793DD5">
      <w:pPr>
        <w:tabs>
          <w:tab w:val="left" w:pos="5400"/>
        </w:tabs>
      </w:pPr>
      <w:r>
        <w:t>The information sought is not easily searchable/ retrievable from the PSD database and it would therefore be necessary to research a number of other force systems in relation to each of the 358 cases detailed above to ascertain whether or not the officer was charged with an offence.</w:t>
      </w:r>
    </w:p>
    <w:p w:rsidR="00BF6B81" w:rsidRPr="00B11A55" w:rsidRDefault="00BF6B81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C691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D10"/>
    <w:multiLevelType w:val="hybridMultilevel"/>
    <w:tmpl w:val="6B1EEF2A"/>
    <w:lvl w:ilvl="0" w:tplc="3F6EE41A">
      <w:start w:val="1"/>
      <w:numFmt w:val="lowerLetter"/>
      <w:lvlText w:val="%1)"/>
      <w:lvlJc w:val="left"/>
      <w:pPr>
        <w:ind w:left="975" w:hanging="61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02EF9"/>
    <w:multiLevelType w:val="hybridMultilevel"/>
    <w:tmpl w:val="7750D392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05F71"/>
    <w:rsid w:val="00014F7A"/>
    <w:rsid w:val="00090F3B"/>
    <w:rsid w:val="000E6526"/>
    <w:rsid w:val="00141533"/>
    <w:rsid w:val="00142C21"/>
    <w:rsid w:val="00167528"/>
    <w:rsid w:val="00171810"/>
    <w:rsid w:val="00195CC4"/>
    <w:rsid w:val="001C691E"/>
    <w:rsid w:val="00253DF6"/>
    <w:rsid w:val="00255F1E"/>
    <w:rsid w:val="00276BA9"/>
    <w:rsid w:val="0036503B"/>
    <w:rsid w:val="003D6D03"/>
    <w:rsid w:val="003E12CA"/>
    <w:rsid w:val="004010DC"/>
    <w:rsid w:val="0040300A"/>
    <w:rsid w:val="004341F0"/>
    <w:rsid w:val="00456324"/>
    <w:rsid w:val="00475460"/>
    <w:rsid w:val="00490317"/>
    <w:rsid w:val="00491644"/>
    <w:rsid w:val="00496A08"/>
    <w:rsid w:val="004B20A7"/>
    <w:rsid w:val="004E1605"/>
    <w:rsid w:val="004F653C"/>
    <w:rsid w:val="00540A52"/>
    <w:rsid w:val="00557306"/>
    <w:rsid w:val="006D5799"/>
    <w:rsid w:val="00750D83"/>
    <w:rsid w:val="0075779C"/>
    <w:rsid w:val="00793DD5"/>
    <w:rsid w:val="007D55F6"/>
    <w:rsid w:val="007F490F"/>
    <w:rsid w:val="0086779C"/>
    <w:rsid w:val="00874BFD"/>
    <w:rsid w:val="008964EF"/>
    <w:rsid w:val="00944149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E65FE"/>
    <w:rsid w:val="00E55D79"/>
    <w:rsid w:val="00EF4761"/>
    <w:rsid w:val="00F55B4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1461</Words>
  <Characters>8332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2023-05-05T11:04:00Z</cp:lastPrinted>
  <dcterms:created xsi:type="dcterms:W3CDTF">2023-05-01T08:58:00Z</dcterms:created>
  <dcterms:modified xsi:type="dcterms:W3CDTF">2023-05-05T11:05:00Z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