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384839" w:rsidR="00B17211" w:rsidRPr="00B17211" w:rsidRDefault="00B17211" w:rsidP="007F490F">
            <w:r w:rsidRPr="007F490F">
              <w:rPr>
                <w:rStyle w:val="Heading2Char"/>
              </w:rPr>
              <w:t>Our reference:</w:t>
            </w:r>
            <w:r>
              <w:t xml:space="preserve">  FOI 2</w:t>
            </w:r>
            <w:r w:rsidR="00EF0FBB">
              <w:t>5</w:t>
            </w:r>
            <w:r>
              <w:t>-</w:t>
            </w:r>
            <w:r w:rsidR="000F761D">
              <w:t>1604</w:t>
            </w:r>
          </w:p>
          <w:p w14:paraId="34BDABA6" w14:textId="715C73EE" w:rsidR="00B17211" w:rsidRDefault="00456324" w:rsidP="00EE2373">
            <w:r w:rsidRPr="007F490F">
              <w:rPr>
                <w:rStyle w:val="Heading2Char"/>
              </w:rPr>
              <w:t>Respon</w:t>
            </w:r>
            <w:r w:rsidR="007D55F6">
              <w:rPr>
                <w:rStyle w:val="Heading2Char"/>
              </w:rPr>
              <w:t>ded to:</w:t>
            </w:r>
            <w:r w:rsidR="007F490F">
              <w:t xml:space="preserve">  </w:t>
            </w:r>
            <w:r w:rsidR="004B2E99">
              <w:t>23</w:t>
            </w:r>
            <w:r w:rsidR="004B2E99" w:rsidRPr="004B2E99">
              <w:rPr>
                <w:vertAlign w:val="superscript"/>
              </w:rPr>
              <w:t>rd</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A0D078A" w14:textId="77777777" w:rsidR="00414424" w:rsidRDefault="00414424" w:rsidP="00414424">
      <w:pPr>
        <w:pStyle w:val="Heading2"/>
      </w:pPr>
      <w:r>
        <w:t xml:space="preserve">Over the last three years </w:t>
      </w:r>
    </w:p>
    <w:p w14:paraId="55673C09" w14:textId="17EB4B9F" w:rsidR="001339A4" w:rsidRDefault="00414424" w:rsidP="001339A4">
      <w:pPr>
        <w:pStyle w:val="Heading2"/>
        <w:numPr>
          <w:ilvl w:val="0"/>
          <w:numId w:val="2"/>
        </w:numPr>
      </w:pPr>
      <w:r>
        <w:t>How many fatal stabbings by the use of a knife have there been in Scotland of young people aged between 10 and 20. Broken down by geographical areas, age and by gender.</w:t>
      </w:r>
    </w:p>
    <w:p w14:paraId="18A9087D" w14:textId="06E0D09B" w:rsidR="005C5F46" w:rsidRDefault="00C05DE2" w:rsidP="00865C68">
      <w:pPr>
        <w:jc w:val="both"/>
      </w:pPr>
      <w:r>
        <w:t>In response to</w:t>
      </w:r>
      <w:r w:rsidR="00375309">
        <w:t xml:space="preserve"> your request f</w:t>
      </w:r>
      <w:r w:rsidR="00A47651">
        <w:t>or</w:t>
      </w:r>
      <w:r>
        <w:t xml:space="preserve"> the number of fatal knife stabbings of young people aged between 10 and 20 years old, </w:t>
      </w:r>
      <w:r w:rsidR="0067025B">
        <w:t>over the last three years</w:t>
      </w:r>
      <w:r w:rsidR="00A47651">
        <w:t xml:space="preserve"> I can confirm</w:t>
      </w:r>
      <w:r w:rsidR="005C5F46">
        <w:t>:</w:t>
      </w:r>
    </w:p>
    <w:p w14:paraId="4D09F9E8" w14:textId="100129C9" w:rsidR="005C5F46" w:rsidRDefault="005C5F46" w:rsidP="00865C68">
      <w:pPr>
        <w:jc w:val="both"/>
      </w:pPr>
      <w:r>
        <w:t>From 01/01/2022 to 31/12/2022, there were no fatal stabbings of young people aged between 10 and 20.</w:t>
      </w:r>
    </w:p>
    <w:p w14:paraId="22C168F4" w14:textId="3190F49E" w:rsidR="005C5F46" w:rsidRDefault="005C5F46" w:rsidP="00865C68">
      <w:pPr>
        <w:jc w:val="both"/>
      </w:pPr>
      <w:r>
        <w:t xml:space="preserve">From 01/01/2023 </w:t>
      </w:r>
      <w:r w:rsidRPr="005C5F46">
        <w:t>to 31/12/</w:t>
      </w:r>
      <w:r>
        <w:t xml:space="preserve">2023, there was one incident which occurred in Edinburgh. The victim was </w:t>
      </w:r>
      <w:r w:rsidR="007E08B3">
        <w:t>a</w:t>
      </w:r>
      <w:r w:rsidR="003714A7">
        <w:t>n</w:t>
      </w:r>
      <w:r w:rsidR="007E08B3">
        <w:t xml:space="preserve"> </w:t>
      </w:r>
      <w:r w:rsidR="003714A7">
        <w:t>18-</w:t>
      </w:r>
      <w:r w:rsidR="003714A7" w:rsidRPr="003714A7">
        <w:t>year-old</w:t>
      </w:r>
      <w:r w:rsidR="007E08B3" w:rsidRPr="003714A7">
        <w:t xml:space="preserve"> male</w:t>
      </w:r>
      <w:r w:rsidRPr="003714A7">
        <w:t>, and</w:t>
      </w:r>
      <w:r>
        <w:t xml:space="preserve"> the</w:t>
      </w:r>
      <w:r w:rsidR="0067025B">
        <w:t xml:space="preserve"> male</w:t>
      </w:r>
      <w:r>
        <w:t xml:space="preserve"> accused was </w:t>
      </w:r>
      <w:r w:rsidR="009D2E06">
        <w:t>19 years old</w:t>
      </w:r>
      <w:r>
        <w:t xml:space="preserve">. </w:t>
      </w:r>
      <w:r w:rsidR="009D2E06">
        <w:t xml:space="preserve">This case has been resolved. </w:t>
      </w:r>
    </w:p>
    <w:p w14:paraId="471142D3" w14:textId="343E1B13" w:rsidR="005C5F46" w:rsidRDefault="005C5F46" w:rsidP="00865C68">
      <w:pPr>
        <w:jc w:val="both"/>
      </w:pPr>
      <w:r>
        <w:t>From 01/01/2024 to 31/12/2024</w:t>
      </w:r>
      <w:r w:rsidR="009D2E06">
        <w:t>, there was one incident which occurred in Glasgow. The victim was</w:t>
      </w:r>
      <w:r w:rsidR="007E08B3">
        <w:t xml:space="preserve"> </w:t>
      </w:r>
      <w:r w:rsidR="007E08B3" w:rsidRPr="003714A7">
        <w:t>a</w:t>
      </w:r>
      <w:r w:rsidR="009D2E06" w:rsidRPr="003714A7">
        <w:t xml:space="preserve"> </w:t>
      </w:r>
      <w:r w:rsidR="003714A7" w:rsidRPr="003714A7">
        <w:t>16-year-old</w:t>
      </w:r>
      <w:r w:rsidR="007E08B3" w:rsidRPr="003714A7">
        <w:t xml:space="preserve"> male</w:t>
      </w:r>
      <w:r w:rsidR="009D2E06" w:rsidRPr="003714A7">
        <w:t>, and</w:t>
      </w:r>
      <w:r w:rsidR="009D2E06">
        <w:t xml:space="preserve"> the </w:t>
      </w:r>
      <w:r w:rsidR="0067025B">
        <w:t xml:space="preserve">male </w:t>
      </w:r>
      <w:r w:rsidR="009D2E06">
        <w:t xml:space="preserve">accused was 13 years old. This case has been resolved. </w:t>
      </w:r>
    </w:p>
    <w:p w14:paraId="377FBFC4" w14:textId="1D4DC1DD" w:rsidR="009D2E06" w:rsidRDefault="005C5F46" w:rsidP="00865C68">
      <w:pPr>
        <w:jc w:val="both"/>
      </w:pPr>
      <w:r>
        <w:t xml:space="preserve">From 01/01/2025 to </w:t>
      </w:r>
      <w:r w:rsidR="009D2E06">
        <w:t>27</w:t>
      </w:r>
      <w:r>
        <w:t>/</w:t>
      </w:r>
      <w:r w:rsidR="009D2E06">
        <w:t>05</w:t>
      </w:r>
      <w:r>
        <w:t>/2025</w:t>
      </w:r>
      <w:r w:rsidR="009D2E06">
        <w:t xml:space="preserve">, there was two incidents: </w:t>
      </w:r>
    </w:p>
    <w:p w14:paraId="232AF829" w14:textId="59B84A1D" w:rsidR="009D2E06" w:rsidRDefault="009D2E06" w:rsidP="00865C68">
      <w:pPr>
        <w:jc w:val="both"/>
      </w:pPr>
      <w:r>
        <w:t xml:space="preserve">1) One incident occurred in Glasgow. The victim was </w:t>
      </w:r>
      <w:r w:rsidR="005A71B5">
        <w:t xml:space="preserve">a </w:t>
      </w:r>
      <w:r w:rsidR="003714A7">
        <w:t>15-year-old</w:t>
      </w:r>
      <w:r w:rsidR="005A71B5">
        <w:t xml:space="preserve"> male</w:t>
      </w:r>
      <w:r>
        <w:t>, an</w:t>
      </w:r>
      <w:r w:rsidR="0067025B">
        <w:t>d the males</w:t>
      </w:r>
      <w:r>
        <w:t xml:space="preserve"> accused were 14 years old and 16 years old. This case is awaiting trial. </w:t>
      </w:r>
    </w:p>
    <w:p w14:paraId="318E46F5" w14:textId="60903A95" w:rsidR="005C5F46" w:rsidRDefault="009D2E06" w:rsidP="00865C68">
      <w:pPr>
        <w:jc w:val="both"/>
      </w:pPr>
      <w:r>
        <w:t xml:space="preserve">2) One incident occurred in Ayrshire. The victim was 16 years old, and </w:t>
      </w:r>
      <w:r w:rsidRPr="0074309C">
        <w:t>the</w:t>
      </w:r>
      <w:r w:rsidR="0067025B" w:rsidRPr="0074309C">
        <w:t xml:space="preserve"> male</w:t>
      </w:r>
      <w:r w:rsidR="005A71B5" w:rsidRPr="0074309C">
        <w:t>s</w:t>
      </w:r>
      <w:r w:rsidRPr="0074309C">
        <w:t xml:space="preserve"> accused</w:t>
      </w:r>
      <w:r>
        <w:t xml:space="preserve"> </w:t>
      </w:r>
      <w:r w:rsidRPr="0074309C">
        <w:t>w</w:t>
      </w:r>
      <w:r w:rsidR="005A71B5" w:rsidRPr="0074309C">
        <w:t>ere</w:t>
      </w:r>
      <w:r w:rsidRPr="0074309C">
        <w:t xml:space="preserve"> 17 years old</w:t>
      </w:r>
      <w:r w:rsidR="005A71B5" w:rsidRPr="0074309C">
        <w:t>, 17 years old and 14 years old</w:t>
      </w:r>
      <w:r w:rsidRPr="0074309C">
        <w:t>. This</w:t>
      </w:r>
      <w:r>
        <w:t xml:space="preserve"> case is awaiting trial. </w:t>
      </w:r>
    </w:p>
    <w:p w14:paraId="79161C88" w14:textId="410F7162" w:rsidR="005C5F46" w:rsidRDefault="00C05DE2" w:rsidP="00865C68">
      <w:pPr>
        <w:jc w:val="both"/>
      </w:pPr>
      <w:r w:rsidRPr="00C05DE2">
        <w:t xml:space="preserve">It </w:t>
      </w:r>
      <w:r w:rsidR="003244CB" w:rsidRPr="00C05DE2">
        <w:t>is important to note that to conduct the research</w:t>
      </w:r>
      <w:r w:rsidRPr="00C05DE2">
        <w:t xml:space="preserve">, </w:t>
      </w:r>
      <w:r w:rsidR="003244CB" w:rsidRPr="00C05DE2">
        <w:t>a search was made</w:t>
      </w:r>
      <w:r>
        <w:t xml:space="preserve"> to include the </w:t>
      </w:r>
      <w:r w:rsidR="003244CB" w:rsidRPr="00C05DE2">
        <w:t xml:space="preserve">weapon </w:t>
      </w:r>
      <w:r>
        <w:t xml:space="preserve">used </w:t>
      </w:r>
      <w:r w:rsidR="003244CB" w:rsidRPr="00C05DE2">
        <w:t xml:space="preserve">being a ‘knife’ as well as a ‘bladed item’ to </w:t>
      </w:r>
      <w:r w:rsidRPr="00C05DE2">
        <w:t>return more accurate results.</w:t>
      </w:r>
      <w:r>
        <w:t xml:space="preserve"> </w:t>
      </w:r>
    </w:p>
    <w:p w14:paraId="49CDF305" w14:textId="77777777" w:rsidR="00B12D7C" w:rsidRDefault="00B12D7C" w:rsidP="00865C68">
      <w:pPr>
        <w:jc w:val="both"/>
      </w:pPr>
    </w:p>
    <w:p w14:paraId="60EB960D" w14:textId="2BC9AA0F" w:rsidR="009A198A" w:rsidRDefault="00D5440B" w:rsidP="00D5440B">
      <w:pPr>
        <w:pStyle w:val="Heading2"/>
        <w:ind w:left="720"/>
      </w:pPr>
      <w:r>
        <w:lastRenderedPageBreak/>
        <w:t>How many young people were hospitalised as a result of stabbings.</w:t>
      </w:r>
    </w:p>
    <w:p w14:paraId="70A651A1" w14:textId="4D8B0684" w:rsidR="00375309" w:rsidRDefault="0069039D" w:rsidP="00F2653A">
      <w:pPr>
        <w:jc w:val="both"/>
      </w:pPr>
      <w:r>
        <w:t>U</w:t>
      </w:r>
      <w:r w:rsidR="00375309">
        <w:t xml:space="preserve">nfortunately, </w:t>
      </w:r>
      <w:r w:rsidR="009A198A" w:rsidRPr="009A198A">
        <w:t>I estimate that it would cost well in excess of the current FOI cost threshold of £600 to process your request.  I am therefore refusing to provide the information sought in terms of section 12(1) of the Act - Excessive Cost of Compliance.</w:t>
      </w:r>
    </w:p>
    <w:p w14:paraId="3A983F92" w14:textId="52503C6A" w:rsidR="00AF3E46" w:rsidRDefault="00865C68" w:rsidP="00673859">
      <w:pPr>
        <w:jc w:val="both"/>
      </w:pPr>
      <w:r>
        <w:t xml:space="preserve">By way of explanation, </w:t>
      </w:r>
      <w:r w:rsidR="002B21EE">
        <w:t xml:space="preserve">I can advise that </w:t>
      </w:r>
      <w:r>
        <w:t xml:space="preserve">although a stabbing which did </w:t>
      </w:r>
      <w:r w:rsidRPr="002B21EE">
        <w:rPr>
          <w:i/>
          <w:iCs/>
        </w:rPr>
        <w:t>not</w:t>
      </w:r>
      <w:r>
        <w:t xml:space="preserve"> result in death would most likely be recorded under the ‘use of offensive weapon’ crime classification, it could also be recorde</w:t>
      </w:r>
      <w:r w:rsidR="00AF3E46">
        <w:t>d under various other violence-based crime classifications (theft, assault, sexual etc.)</w:t>
      </w:r>
      <w:r w:rsidR="002B21EE">
        <w:t xml:space="preserve">. </w:t>
      </w:r>
      <w:r w:rsidR="003D312B">
        <w:t>Since we are unable to automatically retrieve this</w:t>
      </w:r>
      <w:r w:rsidR="00B330FE">
        <w:t xml:space="preserve"> level of detail </w:t>
      </w:r>
      <w:r w:rsidR="003D312B">
        <w:t xml:space="preserve">specifically (non-fatal stabbings), for the three-year period covered by your request </w:t>
      </w:r>
      <w:r w:rsidR="003D312B" w:rsidRPr="00E2421D">
        <w:t>all</w:t>
      </w:r>
      <w:r w:rsidR="003D312B">
        <w:t xml:space="preserve"> </w:t>
      </w:r>
      <w:r w:rsidR="00B330FE">
        <w:t xml:space="preserve">relevant </w:t>
      </w:r>
      <w:r w:rsidR="003D312B">
        <w:t xml:space="preserve">crime reports would need to be individually examined to ascertain whether the victim was hospitalised. </w:t>
      </w:r>
      <w:r w:rsidR="00B330FE">
        <w:t>Unfortunately, t</w:t>
      </w:r>
      <w:r w:rsidR="003D312B">
        <w:t xml:space="preserve">his </w:t>
      </w:r>
      <w:r w:rsidR="003D312B" w:rsidRPr="00C214DF">
        <w:t>exercise would far exceed the cost limit set out in the Fees Regulations.</w:t>
      </w:r>
    </w:p>
    <w:p w14:paraId="2CD220A8" w14:textId="77777777" w:rsidR="00673859" w:rsidRDefault="00673859" w:rsidP="00673859">
      <w:pPr>
        <w:jc w:val="both"/>
      </w:pPr>
    </w:p>
    <w:p w14:paraId="0DBF85C9" w14:textId="54D64169" w:rsidR="00414424" w:rsidRDefault="00414424" w:rsidP="00414424">
      <w:pPr>
        <w:pStyle w:val="Heading2"/>
        <w:numPr>
          <w:ilvl w:val="0"/>
          <w:numId w:val="2"/>
        </w:numPr>
      </w:pPr>
      <w:r>
        <w:t>How many of the fatal stabbings were carried out by young people on young people, aged between 10 and 20) and what was the age, gender of those carrying out the stabbings.</w:t>
      </w:r>
    </w:p>
    <w:p w14:paraId="0DFFB29B" w14:textId="52DB1964" w:rsidR="00414424" w:rsidRDefault="0069039D" w:rsidP="00F2653A">
      <w:pPr>
        <w:jc w:val="both"/>
      </w:pPr>
      <w:r>
        <w:t>Please r</w:t>
      </w:r>
      <w:r w:rsidR="00F2653A">
        <w:t xml:space="preserve">efer to the </w:t>
      </w:r>
      <w:r w:rsidR="00855CF0">
        <w:t>information</w:t>
      </w:r>
      <w:r w:rsidR="00F2653A">
        <w:t xml:space="preserve"> provided above </w:t>
      </w:r>
      <w:r>
        <w:t xml:space="preserve">in response to </w:t>
      </w:r>
      <w:r w:rsidR="00F2653A">
        <w:t xml:space="preserve">your first request – </w:t>
      </w:r>
      <w:r w:rsidR="00A47651">
        <w:t xml:space="preserve">all </w:t>
      </w:r>
      <w:r w:rsidR="00F2653A">
        <w:t>these incidents</w:t>
      </w:r>
      <w:r>
        <w:t xml:space="preserve"> listed</w:t>
      </w:r>
      <w:r w:rsidR="00F2653A">
        <w:t xml:space="preserve"> have been attacks on young people </w:t>
      </w:r>
      <w:r w:rsidR="00F2653A" w:rsidRPr="00B330FE">
        <w:rPr>
          <w:i/>
          <w:iCs/>
        </w:rPr>
        <w:t>by</w:t>
      </w:r>
      <w:r w:rsidR="00F2653A">
        <w:t xml:space="preserve"> young people. </w:t>
      </w:r>
    </w:p>
    <w:p w14:paraId="4A3E4A96" w14:textId="77777777" w:rsidR="00F2653A" w:rsidRPr="00414424" w:rsidRDefault="00F2653A" w:rsidP="00414424"/>
    <w:p w14:paraId="337D354F" w14:textId="1F7EFF9C" w:rsidR="007D005C" w:rsidRDefault="00414424" w:rsidP="00414424">
      <w:pPr>
        <w:pStyle w:val="Heading2"/>
        <w:numPr>
          <w:ilvl w:val="0"/>
          <w:numId w:val="2"/>
        </w:numPr>
      </w:pPr>
      <w:r>
        <w:t>How many young people ( between 10 and 20) by geographical area, aged between 10 and 20 were stopped by the Police carrying a knife and what was the result of the Police intervention ie: warning, arrest, charged, sentenced.</w:t>
      </w:r>
    </w:p>
    <w:p w14:paraId="70642EBE" w14:textId="77777777" w:rsidR="007D005C" w:rsidRDefault="007D005C" w:rsidP="00865C68">
      <w:pPr>
        <w:jc w:val="both"/>
      </w:pPr>
      <w:r>
        <w:t>The information sought is held by Police Scotland, but I am refusing to provide it in terms of s</w:t>
      </w:r>
      <w:r w:rsidRPr="00453F0A">
        <w:t>ection 16</w:t>
      </w:r>
      <w:r>
        <w:t>(1) of the Act on the basis that the section 25(1) exemption applies:</w:t>
      </w:r>
    </w:p>
    <w:p w14:paraId="4E622FC0" w14:textId="77777777" w:rsidR="007D005C" w:rsidRDefault="007D005C" w:rsidP="00865C68">
      <w:pPr>
        <w:jc w:val="both"/>
      </w:pPr>
      <w:r>
        <w:t>“Information which the applicant can reasonably obtain other than by requesting it […] is exempt information”.</w:t>
      </w:r>
    </w:p>
    <w:p w14:paraId="27CEB4FD" w14:textId="23261307" w:rsidR="007D005C" w:rsidRDefault="007D005C" w:rsidP="00865C68">
      <w:pPr>
        <w:jc w:val="both"/>
      </w:pPr>
      <w:r>
        <w:t>However, to be of assistance, I can advise that</w:t>
      </w:r>
      <w:r w:rsidR="00E869A4">
        <w:t xml:space="preserve"> our</w:t>
      </w:r>
      <w:r>
        <w:t xml:space="preserve"> Stop and Search statistics are publicly available</w:t>
      </w:r>
      <w:r w:rsidR="00E869A4">
        <w:t xml:space="preserve"> on the Police Scotland website, </w:t>
      </w:r>
      <w:r w:rsidR="00E869A4" w:rsidRPr="00E869A4">
        <w:t>with the most recent figures due to be updated in the next few weeks:</w:t>
      </w:r>
    </w:p>
    <w:p w14:paraId="04F11516" w14:textId="0D8D0945" w:rsidR="007D005C" w:rsidRDefault="007D005C" w:rsidP="00865C68">
      <w:pPr>
        <w:jc w:val="both"/>
      </w:pPr>
      <w:hyperlink r:id="rId11" w:tgtFrame="_blank" w:history="1">
        <w:r w:rsidRPr="00BA1C19">
          <w:rPr>
            <w:rStyle w:val="Hyperlink"/>
          </w:rPr>
          <w:t>Data Publication - Police Scotland</w:t>
        </w:r>
      </w:hyperlink>
    </w:p>
    <w:p w14:paraId="5AAC1353" w14:textId="77777777" w:rsidR="007D005C" w:rsidRPr="00414424" w:rsidRDefault="007D005C" w:rsidP="00414424"/>
    <w:p w14:paraId="4286F87F" w14:textId="0D51538E" w:rsidR="00414424" w:rsidRDefault="00414424" w:rsidP="00414424">
      <w:pPr>
        <w:pStyle w:val="Heading2"/>
        <w:numPr>
          <w:ilvl w:val="0"/>
          <w:numId w:val="2"/>
        </w:numPr>
      </w:pPr>
      <w:r>
        <w:lastRenderedPageBreak/>
        <w:t>What type of knives were found regarding question 3.</w:t>
      </w:r>
    </w:p>
    <w:p w14:paraId="10911BD3" w14:textId="47E15108" w:rsidR="00F70AA9" w:rsidRDefault="00F70AA9" w:rsidP="00F70AA9">
      <w:pPr>
        <w:jc w:val="both"/>
      </w:pPr>
      <w:r w:rsidRPr="00F70AA9">
        <w:t>Unfortunately, I</w:t>
      </w:r>
      <w:r w:rsidR="00B330FE">
        <w:t xml:space="preserve"> regret to inform you that I</w:t>
      </w:r>
      <w:r w:rsidRPr="00F70AA9">
        <w:t xml:space="preserve"> estimate it would cost well in excess of the current FOI cost threshold of £600 to process your request. I am therefore refusing to provide the information sought in terms of section 12(1) of the Act - Excessive Cost of Compliance. </w:t>
      </w:r>
    </w:p>
    <w:p w14:paraId="38722063" w14:textId="2AC4D2DC" w:rsidR="00414424" w:rsidRDefault="002B21EE" w:rsidP="00302DA1">
      <w:pPr>
        <w:jc w:val="both"/>
      </w:pPr>
      <w:r>
        <w:t>To explain</w:t>
      </w:r>
      <w:r w:rsidR="00F70AA9" w:rsidRPr="00F70AA9">
        <w:t>, I can advise that the only way to provide an accurate and consistent response to your request would be to manually review every</w:t>
      </w:r>
      <w:r w:rsidR="00F70AA9">
        <w:t xml:space="preserve"> stop-and-search</w:t>
      </w:r>
      <w:r w:rsidR="00F70AA9" w:rsidRPr="00F70AA9">
        <w:t xml:space="preserve"> report relating to the possession an instrument (offensive weapon, bladed article, knife etc</w:t>
      </w:r>
      <w:r w:rsidR="00F70AA9">
        <w:t xml:space="preserve">.) </w:t>
      </w:r>
      <w:r w:rsidR="00302DA1">
        <w:t xml:space="preserve">to </w:t>
      </w:r>
      <w:r w:rsidR="00B330FE">
        <w:t>establish</w:t>
      </w:r>
      <w:r w:rsidR="00302DA1">
        <w:t xml:space="preserve"> the specific type from any </w:t>
      </w:r>
      <w:r w:rsidR="0069039D">
        <w:t>knife-related</w:t>
      </w:r>
      <w:r w:rsidR="00302DA1">
        <w:t xml:space="preserve"> associated productions. </w:t>
      </w:r>
      <w:r w:rsidR="00F70AA9" w:rsidRPr="00F70AA9">
        <w:t xml:space="preserve">Given the volume of reports that would be required to be read through for the </w:t>
      </w:r>
      <w:r w:rsidR="0069039D" w:rsidRPr="00F70AA9">
        <w:t>period</w:t>
      </w:r>
      <w:r w:rsidR="0069039D">
        <w:t xml:space="preserve"> requested</w:t>
      </w:r>
      <w:r w:rsidR="00F70AA9" w:rsidRPr="00F70AA9">
        <w:t>, this exercise would far exceed the cost limit set out in the Fees Regulations.</w:t>
      </w:r>
    </w:p>
    <w:p w14:paraId="54FDE7F2" w14:textId="77777777" w:rsidR="00F70AA9" w:rsidRPr="00414424" w:rsidRDefault="00F70AA9" w:rsidP="00414424"/>
    <w:p w14:paraId="37DADECD" w14:textId="5DB048AA" w:rsidR="00914A0E" w:rsidRDefault="00414424" w:rsidP="00914A0E">
      <w:pPr>
        <w:pStyle w:val="Heading2"/>
        <w:numPr>
          <w:ilvl w:val="0"/>
          <w:numId w:val="2"/>
        </w:numPr>
      </w:pPr>
      <w:r>
        <w:t>What is the comparable information regarding questions1 to 4, has knife crime risen from the previous three years.</w:t>
      </w:r>
    </w:p>
    <w:p w14:paraId="01DBE352" w14:textId="165F1021" w:rsidR="00914A0E" w:rsidRPr="00914A0E" w:rsidRDefault="0069039D" w:rsidP="0069039D">
      <w:pPr>
        <w:jc w:val="both"/>
      </w:pPr>
      <w:r>
        <w:t xml:space="preserve">Please refer to the data which we have provided you with alongside the statistics which I have advised you of on the Police Scotland website, both of which cover the three-year period you wish to compare. </w:t>
      </w:r>
    </w:p>
    <w:p w14:paraId="6C1975E7" w14:textId="77777777" w:rsidR="001339A4" w:rsidRDefault="001339A4" w:rsidP="001339A4"/>
    <w:p w14:paraId="3DE0CEC2" w14:textId="77777777" w:rsidR="0069039D" w:rsidRPr="001339A4" w:rsidRDefault="0069039D" w:rsidP="001339A4"/>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5F767" w14:textId="77777777" w:rsidR="00C46D80" w:rsidRDefault="00C46D80" w:rsidP="00491644">
      <w:r>
        <w:separator/>
      </w:r>
    </w:p>
  </w:endnote>
  <w:endnote w:type="continuationSeparator" w:id="0">
    <w:p w14:paraId="0843B88A" w14:textId="77777777" w:rsidR="00C46D80" w:rsidRDefault="00C46D80"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14CFD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79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42427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79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A7A7E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79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FE2A3" w14:textId="77777777" w:rsidR="00C46D80" w:rsidRDefault="00C46D80" w:rsidP="00491644">
      <w:r>
        <w:separator/>
      </w:r>
    </w:p>
  </w:footnote>
  <w:footnote w:type="continuationSeparator" w:id="0">
    <w:p w14:paraId="063560AA" w14:textId="77777777" w:rsidR="00C46D80" w:rsidRDefault="00C46D80"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B49F3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79F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16DFD7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79F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A46A4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79F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57BD9"/>
    <w:multiLevelType w:val="hybridMultilevel"/>
    <w:tmpl w:val="E0CA34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2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3A87"/>
    <w:rsid w:val="00090F3B"/>
    <w:rsid w:val="000B0F1B"/>
    <w:rsid w:val="000E2F19"/>
    <w:rsid w:val="000E6526"/>
    <w:rsid w:val="000F761D"/>
    <w:rsid w:val="00122F43"/>
    <w:rsid w:val="001339A4"/>
    <w:rsid w:val="00141533"/>
    <w:rsid w:val="00151DD0"/>
    <w:rsid w:val="00167528"/>
    <w:rsid w:val="00195CC4"/>
    <w:rsid w:val="001A4DC0"/>
    <w:rsid w:val="00207326"/>
    <w:rsid w:val="00213BB6"/>
    <w:rsid w:val="00253DF6"/>
    <w:rsid w:val="00255F1E"/>
    <w:rsid w:val="002B21EE"/>
    <w:rsid w:val="002F5274"/>
    <w:rsid w:val="00302DA1"/>
    <w:rsid w:val="003244CB"/>
    <w:rsid w:val="0036503B"/>
    <w:rsid w:val="003714A7"/>
    <w:rsid w:val="00375309"/>
    <w:rsid w:val="00376A4A"/>
    <w:rsid w:val="003D312B"/>
    <w:rsid w:val="003D6D03"/>
    <w:rsid w:val="003E12CA"/>
    <w:rsid w:val="004010DC"/>
    <w:rsid w:val="00406A67"/>
    <w:rsid w:val="00414424"/>
    <w:rsid w:val="00422541"/>
    <w:rsid w:val="004341F0"/>
    <w:rsid w:val="0044615F"/>
    <w:rsid w:val="00456324"/>
    <w:rsid w:val="00475460"/>
    <w:rsid w:val="00490317"/>
    <w:rsid w:val="00491644"/>
    <w:rsid w:val="00496A08"/>
    <w:rsid w:val="004B26E4"/>
    <w:rsid w:val="004B2E99"/>
    <w:rsid w:val="004E1605"/>
    <w:rsid w:val="004F653C"/>
    <w:rsid w:val="00540A52"/>
    <w:rsid w:val="005506B0"/>
    <w:rsid w:val="00557306"/>
    <w:rsid w:val="00566BE5"/>
    <w:rsid w:val="005A71B5"/>
    <w:rsid w:val="005C5F46"/>
    <w:rsid w:val="00645CFA"/>
    <w:rsid w:val="00663B54"/>
    <w:rsid w:val="00664EBA"/>
    <w:rsid w:val="0067025B"/>
    <w:rsid w:val="00673859"/>
    <w:rsid w:val="00685219"/>
    <w:rsid w:val="0069039D"/>
    <w:rsid w:val="006A4CDD"/>
    <w:rsid w:val="006D5799"/>
    <w:rsid w:val="007016B1"/>
    <w:rsid w:val="00716672"/>
    <w:rsid w:val="00723A82"/>
    <w:rsid w:val="0074309C"/>
    <w:rsid w:val="007440EA"/>
    <w:rsid w:val="00750D83"/>
    <w:rsid w:val="00760A77"/>
    <w:rsid w:val="00761CF1"/>
    <w:rsid w:val="00785DBC"/>
    <w:rsid w:val="00793DD5"/>
    <w:rsid w:val="007B3A40"/>
    <w:rsid w:val="007C79FE"/>
    <w:rsid w:val="007D005C"/>
    <w:rsid w:val="007D55F6"/>
    <w:rsid w:val="007E08B3"/>
    <w:rsid w:val="007F490F"/>
    <w:rsid w:val="00822634"/>
    <w:rsid w:val="00854A15"/>
    <w:rsid w:val="00855CF0"/>
    <w:rsid w:val="00865C68"/>
    <w:rsid w:val="0086779C"/>
    <w:rsid w:val="00874BFD"/>
    <w:rsid w:val="008964EF"/>
    <w:rsid w:val="008B5CF7"/>
    <w:rsid w:val="00914A0E"/>
    <w:rsid w:val="00915E01"/>
    <w:rsid w:val="00917397"/>
    <w:rsid w:val="009324D4"/>
    <w:rsid w:val="009631A4"/>
    <w:rsid w:val="00977296"/>
    <w:rsid w:val="009A198A"/>
    <w:rsid w:val="009A715F"/>
    <w:rsid w:val="009D2E06"/>
    <w:rsid w:val="00A04A7E"/>
    <w:rsid w:val="00A25E93"/>
    <w:rsid w:val="00A320FF"/>
    <w:rsid w:val="00A47651"/>
    <w:rsid w:val="00A70AC0"/>
    <w:rsid w:val="00A84EA9"/>
    <w:rsid w:val="00AC443C"/>
    <w:rsid w:val="00AC6465"/>
    <w:rsid w:val="00AD7841"/>
    <w:rsid w:val="00AF3E46"/>
    <w:rsid w:val="00B033D6"/>
    <w:rsid w:val="00B11A55"/>
    <w:rsid w:val="00B12D7C"/>
    <w:rsid w:val="00B17211"/>
    <w:rsid w:val="00B330FE"/>
    <w:rsid w:val="00B461B2"/>
    <w:rsid w:val="00B654B6"/>
    <w:rsid w:val="00B71B3C"/>
    <w:rsid w:val="00BB13B3"/>
    <w:rsid w:val="00BC389E"/>
    <w:rsid w:val="00BE1888"/>
    <w:rsid w:val="00BE4F44"/>
    <w:rsid w:val="00BF6B81"/>
    <w:rsid w:val="00C05DE2"/>
    <w:rsid w:val="00C077A8"/>
    <w:rsid w:val="00C14FF4"/>
    <w:rsid w:val="00C1679F"/>
    <w:rsid w:val="00C46D80"/>
    <w:rsid w:val="00C606A2"/>
    <w:rsid w:val="00C63872"/>
    <w:rsid w:val="00C84948"/>
    <w:rsid w:val="00C84A16"/>
    <w:rsid w:val="00C94ED8"/>
    <w:rsid w:val="00CE6358"/>
    <w:rsid w:val="00CF1111"/>
    <w:rsid w:val="00D05706"/>
    <w:rsid w:val="00D1001E"/>
    <w:rsid w:val="00D27DC5"/>
    <w:rsid w:val="00D47E36"/>
    <w:rsid w:val="00D5440B"/>
    <w:rsid w:val="00DA1167"/>
    <w:rsid w:val="00DA2DF7"/>
    <w:rsid w:val="00DA4179"/>
    <w:rsid w:val="00DE1635"/>
    <w:rsid w:val="00DF3689"/>
    <w:rsid w:val="00E25AB4"/>
    <w:rsid w:val="00E366D4"/>
    <w:rsid w:val="00E55D79"/>
    <w:rsid w:val="00E869A4"/>
    <w:rsid w:val="00EE2373"/>
    <w:rsid w:val="00EF0FBB"/>
    <w:rsid w:val="00EF4761"/>
    <w:rsid w:val="00EF6FD7"/>
    <w:rsid w:val="00F2653A"/>
    <w:rsid w:val="00F70AA9"/>
    <w:rsid w:val="00FB196C"/>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3BFFA5A-647C-4F86-B317-8428A6C9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E869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3945">
      <w:bodyDiv w:val="1"/>
      <w:marLeft w:val="0"/>
      <w:marRight w:val="0"/>
      <w:marTop w:val="0"/>
      <w:marBottom w:val="0"/>
      <w:divBdr>
        <w:top w:val="none" w:sz="0" w:space="0" w:color="auto"/>
        <w:left w:val="none" w:sz="0" w:space="0" w:color="auto"/>
        <w:bottom w:val="none" w:sz="0" w:space="0" w:color="auto"/>
        <w:right w:val="none" w:sz="0" w:space="0" w:color="auto"/>
      </w:divBdr>
    </w:div>
    <w:div w:id="247540062">
      <w:bodyDiv w:val="1"/>
      <w:marLeft w:val="0"/>
      <w:marRight w:val="0"/>
      <w:marTop w:val="0"/>
      <w:marBottom w:val="0"/>
      <w:divBdr>
        <w:top w:val="none" w:sz="0" w:space="0" w:color="auto"/>
        <w:left w:val="none" w:sz="0" w:space="0" w:color="auto"/>
        <w:bottom w:val="none" w:sz="0" w:space="0" w:color="auto"/>
        <w:right w:val="none" w:sz="0" w:space="0" w:color="auto"/>
      </w:divBdr>
    </w:div>
    <w:div w:id="1428961554">
      <w:bodyDiv w:val="1"/>
      <w:marLeft w:val="0"/>
      <w:marRight w:val="0"/>
      <w:marTop w:val="0"/>
      <w:marBottom w:val="0"/>
      <w:divBdr>
        <w:top w:val="none" w:sz="0" w:space="0" w:color="auto"/>
        <w:left w:val="none" w:sz="0" w:space="0" w:color="auto"/>
        <w:bottom w:val="none" w:sz="0" w:space="0" w:color="auto"/>
        <w:right w:val="none" w:sz="0" w:space="0" w:color="auto"/>
      </w:divBdr>
    </w:div>
    <w:div w:id="1448546639">
      <w:bodyDiv w:val="1"/>
      <w:marLeft w:val="0"/>
      <w:marRight w:val="0"/>
      <w:marTop w:val="0"/>
      <w:marBottom w:val="0"/>
      <w:divBdr>
        <w:top w:val="none" w:sz="0" w:space="0" w:color="auto"/>
        <w:left w:val="none" w:sz="0" w:space="0" w:color="auto"/>
        <w:bottom w:val="none" w:sz="0" w:space="0" w:color="auto"/>
        <w:right w:val="none" w:sz="0" w:space="0" w:color="auto"/>
      </w:divBdr>
    </w:div>
    <w:div w:id="1517112913">
      <w:bodyDiv w:val="1"/>
      <w:marLeft w:val="0"/>
      <w:marRight w:val="0"/>
      <w:marTop w:val="0"/>
      <w:marBottom w:val="0"/>
      <w:divBdr>
        <w:top w:val="none" w:sz="0" w:space="0" w:color="auto"/>
        <w:left w:val="none" w:sz="0" w:space="0" w:color="auto"/>
        <w:bottom w:val="none" w:sz="0" w:space="0" w:color="auto"/>
        <w:right w:val="none" w:sz="0" w:space="0" w:color="auto"/>
      </w:divBdr>
    </w:div>
    <w:div w:id="1687251055">
      <w:bodyDiv w:val="1"/>
      <w:marLeft w:val="0"/>
      <w:marRight w:val="0"/>
      <w:marTop w:val="0"/>
      <w:marBottom w:val="0"/>
      <w:divBdr>
        <w:top w:val="none" w:sz="0" w:space="0" w:color="auto"/>
        <w:left w:val="none" w:sz="0" w:space="0" w:color="auto"/>
        <w:bottom w:val="none" w:sz="0" w:space="0" w:color="auto"/>
        <w:right w:val="none" w:sz="0" w:space="0" w:color="auto"/>
      </w:divBdr>
    </w:div>
    <w:div w:id="206794421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stop-and-search/data-public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0e32d40b-a8f5-4c24-a46b-b72b5f0b9b52"/>
    <ds:schemaRef ds:uri="http://purl.org/dc/elements/1.1/"/>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5160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2025-06-23T16:29:00Z</cp:lastPrinted>
  <dcterms:created xsi:type="dcterms:W3CDTF">2025-06-23T16:28:00Z</dcterms:created>
  <dcterms:modified xsi:type="dcterms:W3CDTF">2025-06-23T16:30:00Z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