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623D33" w:rsidR="00B17211" w:rsidRPr="00B17211" w:rsidRDefault="00B17211" w:rsidP="007F490F">
            <w:r w:rsidRPr="007F490F">
              <w:rPr>
                <w:rStyle w:val="Heading2Char"/>
              </w:rPr>
              <w:t>Our reference:</w:t>
            </w:r>
            <w:r>
              <w:t xml:space="preserve">  FOI 2</w:t>
            </w:r>
            <w:r w:rsidR="00EF0FBB">
              <w:t>5</w:t>
            </w:r>
            <w:r>
              <w:t>-</w:t>
            </w:r>
            <w:r w:rsidR="0006747E">
              <w:t>0871</w:t>
            </w:r>
          </w:p>
          <w:p w14:paraId="34BDABA6" w14:textId="45AE55D6" w:rsidR="00B17211" w:rsidRDefault="00456324" w:rsidP="00EE2373">
            <w:r w:rsidRPr="007F490F">
              <w:rPr>
                <w:rStyle w:val="Heading2Char"/>
              </w:rPr>
              <w:t>Respon</w:t>
            </w:r>
            <w:r w:rsidR="007D55F6">
              <w:rPr>
                <w:rStyle w:val="Heading2Char"/>
              </w:rPr>
              <w:t>ded to:</w:t>
            </w:r>
            <w:r w:rsidR="007F490F">
              <w:t xml:space="preserve">  </w:t>
            </w:r>
            <w:r w:rsidR="00D27465">
              <w:t>21</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DF02E7" w14:textId="325E8D17" w:rsidR="0006747E" w:rsidRPr="0006747E" w:rsidRDefault="0006747E" w:rsidP="0006747E">
      <w:pPr>
        <w:tabs>
          <w:tab w:val="left" w:pos="5400"/>
        </w:tabs>
        <w:rPr>
          <w:rFonts w:eastAsiaTheme="majorEastAsia" w:cstheme="majorBidi"/>
          <w:b/>
          <w:color w:val="000000" w:themeColor="text1"/>
          <w:szCs w:val="26"/>
        </w:rPr>
      </w:pPr>
      <w:r w:rsidRPr="0006747E">
        <w:rPr>
          <w:rFonts w:eastAsiaTheme="majorEastAsia" w:cstheme="majorBidi"/>
          <w:b/>
          <w:color w:val="000000" w:themeColor="text1"/>
          <w:szCs w:val="26"/>
        </w:rPr>
        <w:t>Please provide the following information under the Freedom of Information (Scotland) Act of 2002 respectively:</w:t>
      </w:r>
    </w:p>
    <w:p w14:paraId="027F106B" w14:textId="77777777" w:rsidR="0006747E" w:rsidRPr="0006747E" w:rsidRDefault="0006747E" w:rsidP="0006747E">
      <w:pPr>
        <w:tabs>
          <w:tab w:val="left" w:pos="5400"/>
        </w:tabs>
        <w:rPr>
          <w:rFonts w:eastAsiaTheme="majorEastAsia" w:cstheme="majorBidi"/>
          <w:b/>
          <w:color w:val="000000" w:themeColor="text1"/>
          <w:szCs w:val="26"/>
        </w:rPr>
      </w:pPr>
      <w:r w:rsidRPr="0006747E">
        <w:rPr>
          <w:rFonts w:eastAsiaTheme="majorEastAsia" w:cstheme="majorBidi"/>
          <w:b/>
          <w:color w:val="000000" w:themeColor="text1"/>
          <w:szCs w:val="26"/>
        </w:rPr>
        <w:t>A full statistical count of all arrests of any Catholic, Christian, or any other person for silently praying or thinking against abortion or otherwise exercising their absolute UN Article 18 Human right under the International Declaration of Human Rights at any abortion clinic or area deemed a ''Protected zone'' in Scotland between 10/3/2020 - 10/3/2025 please do not disclose the details of the arrested, but please disclose the details of the arresting officers involved in arresting and persecuting these individuals for having a thought contrary to Scottish Government anti-life policy.</w:t>
      </w:r>
    </w:p>
    <w:p w14:paraId="7E6549BE" w14:textId="77777777" w:rsidR="001E10F4" w:rsidRDefault="0006747E" w:rsidP="0006747E">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provide data from March 2020</w:t>
      </w:r>
      <w:r w:rsidR="001E10F4">
        <w:t xml:space="preserve"> to</w:t>
      </w:r>
      <w:r>
        <w:t xml:space="preserve"> August 2024. </w:t>
      </w:r>
    </w:p>
    <w:p w14:paraId="686CC308" w14:textId="6731D92C" w:rsidR="0006747E" w:rsidRDefault="0006747E" w:rsidP="0006747E">
      <w:r>
        <w:t>I am therefore refusing to provide the information sought in terms of s</w:t>
      </w:r>
      <w:r w:rsidRPr="00453F0A">
        <w:t xml:space="preserve">ection 12(1) </w:t>
      </w:r>
      <w:r>
        <w:t xml:space="preserve">of the Act - </w:t>
      </w:r>
      <w:r w:rsidRPr="00453F0A">
        <w:t>Excessive Cost of Compliance.</w:t>
      </w:r>
    </w:p>
    <w:p w14:paraId="0B7CFF18" w14:textId="77777777" w:rsidR="00112E8D" w:rsidRDefault="0006747E" w:rsidP="0006747E">
      <w:r>
        <w:t xml:space="preserve">By way of explanation, prior to September 2024, there was no </w:t>
      </w:r>
      <w:r w:rsidRPr="0006747E">
        <w:t>specific offence and no means of searching C</w:t>
      </w:r>
      <w:r>
        <w:t xml:space="preserve">rime </w:t>
      </w:r>
      <w:r w:rsidRPr="0006747E">
        <w:t>R</w:t>
      </w:r>
      <w:r>
        <w:t xml:space="preserve">eports </w:t>
      </w:r>
      <w:r w:rsidRPr="0006747E">
        <w:t>based on locus as a provider of abortion services. </w:t>
      </w:r>
    </w:p>
    <w:p w14:paraId="67F0D828" w14:textId="77777777" w:rsidR="001E10F4" w:rsidRDefault="0006747E" w:rsidP="0006747E">
      <w:r>
        <w:t xml:space="preserve">It should be noted that </w:t>
      </w:r>
      <w:r w:rsidRPr="0006747E">
        <w:t xml:space="preserve">criminal behaviour could be recorded under </w:t>
      </w:r>
      <w:proofErr w:type="gramStart"/>
      <w:r w:rsidRPr="0006747E">
        <w:t>a number of</w:t>
      </w:r>
      <w:proofErr w:type="gramEnd"/>
      <w:r w:rsidRPr="0006747E">
        <w:t xml:space="preserve"> crime classifications. </w:t>
      </w:r>
      <w:r w:rsidR="001E10F4">
        <w:t xml:space="preserve"> </w:t>
      </w:r>
    </w:p>
    <w:p w14:paraId="1F35443E" w14:textId="15FEB84B" w:rsidR="00EF0FBB" w:rsidRDefault="0006747E" w:rsidP="0006747E">
      <w:r>
        <w:t>As such, this is an exercise which would exceed the cost limit set out in the Fees Regulations.</w:t>
      </w:r>
    </w:p>
    <w:p w14:paraId="7C2DADD5" w14:textId="25F49FDE" w:rsidR="0006747E" w:rsidRDefault="0006747E" w:rsidP="0006747E">
      <w:r>
        <w:t xml:space="preserve">We can, however, provide data from September 2024, detailed in the table below. </w:t>
      </w:r>
    </w:p>
    <w:p w14:paraId="34BDABAB" w14:textId="5CE05332" w:rsidR="00255F1E" w:rsidRDefault="0006747E" w:rsidP="0006747E">
      <w:r>
        <w:t xml:space="preserve">Please note caveats below the table: </w:t>
      </w:r>
    </w:p>
    <w:p w14:paraId="51C2F09B" w14:textId="77777777" w:rsidR="001E10F4" w:rsidRDefault="001E10F4">
      <w:pPr>
        <w:rPr>
          <w:i/>
          <w:iCs/>
        </w:rPr>
      </w:pPr>
      <w:r>
        <w:rPr>
          <w:i/>
          <w:iCs/>
        </w:rPr>
        <w:br w:type="page"/>
      </w:r>
    </w:p>
    <w:p w14:paraId="6EC085D3" w14:textId="1DA1583D" w:rsidR="0006747E" w:rsidRPr="0006747E" w:rsidRDefault="001E10F4" w:rsidP="0006747E">
      <w:pPr>
        <w:rPr>
          <w:i/>
          <w:iCs/>
        </w:rPr>
      </w:pPr>
      <w:r>
        <w:rPr>
          <w:i/>
          <w:iCs/>
        </w:rPr>
        <w:lastRenderedPageBreak/>
        <w:t>Detected crimes -</w:t>
      </w:r>
      <w:r w:rsidR="0006747E" w:rsidRPr="0006747E">
        <w:rPr>
          <w:i/>
          <w:iCs/>
        </w:rPr>
        <w:t xml:space="preserve"> contravention of Abortion Services (Safe Access Zone) – 01/09/2024 – </w:t>
      </w:r>
      <w:r>
        <w:rPr>
          <w:i/>
          <w:iCs/>
        </w:rPr>
        <w:t>13/05/2025</w:t>
      </w:r>
    </w:p>
    <w:tbl>
      <w:tblPr>
        <w:tblStyle w:val="TableGrid"/>
        <w:tblW w:w="4024" w:type="dxa"/>
        <w:tblLook w:val="04A0" w:firstRow="1" w:lastRow="0" w:firstColumn="1" w:lastColumn="0" w:noHBand="0" w:noVBand="1"/>
        <w:tblCaption w:val="Detected crimes - contravention of Abortion Services (Safe Access Zone) – 01/09/2024 – 13/05/2025"/>
        <w:tblDescription w:val="Detected crimes - contravention of Abortion Services (Safe Access Zone) – 01/09/2024 – 13/05/2025"/>
      </w:tblPr>
      <w:tblGrid>
        <w:gridCol w:w="2125"/>
        <w:gridCol w:w="1899"/>
      </w:tblGrid>
      <w:tr w:rsidR="0006747E" w:rsidRPr="00557306" w14:paraId="34BDABB1" w14:textId="77777777" w:rsidTr="0006747E">
        <w:trPr>
          <w:tblHeader/>
        </w:trPr>
        <w:tc>
          <w:tcPr>
            <w:tcW w:w="2125" w:type="dxa"/>
            <w:shd w:val="clear" w:color="auto" w:fill="D9D9D9" w:themeFill="background1" w:themeFillShade="D9"/>
          </w:tcPr>
          <w:p w14:paraId="34BDABAC" w14:textId="7B6D1F7F" w:rsidR="0006747E" w:rsidRPr="00557306" w:rsidRDefault="0006747E" w:rsidP="00EF0FBB">
            <w:pPr>
              <w:spacing w:line="240" w:lineRule="auto"/>
              <w:rPr>
                <w:b/>
              </w:rPr>
            </w:pPr>
            <w:r>
              <w:rPr>
                <w:b/>
              </w:rPr>
              <w:t>Month</w:t>
            </w:r>
          </w:p>
        </w:tc>
        <w:tc>
          <w:tcPr>
            <w:tcW w:w="1899" w:type="dxa"/>
            <w:shd w:val="clear" w:color="auto" w:fill="D9D9D9" w:themeFill="background1" w:themeFillShade="D9"/>
          </w:tcPr>
          <w:p w14:paraId="34BDABAD" w14:textId="1D29CA9E" w:rsidR="0006747E" w:rsidRPr="00557306" w:rsidRDefault="0006747E" w:rsidP="00EF0FBB">
            <w:pPr>
              <w:spacing w:line="240" w:lineRule="auto"/>
              <w:rPr>
                <w:b/>
              </w:rPr>
            </w:pPr>
            <w:r>
              <w:rPr>
                <w:b/>
              </w:rPr>
              <w:t>Number</w:t>
            </w:r>
          </w:p>
        </w:tc>
      </w:tr>
      <w:tr w:rsidR="0006747E" w14:paraId="34BDABB7" w14:textId="77777777" w:rsidTr="0006747E">
        <w:tc>
          <w:tcPr>
            <w:tcW w:w="2125" w:type="dxa"/>
          </w:tcPr>
          <w:p w14:paraId="34BDABB2" w14:textId="0E186122" w:rsidR="0006747E" w:rsidRDefault="0006747E" w:rsidP="00EF0FBB">
            <w:pPr>
              <w:tabs>
                <w:tab w:val="left" w:pos="5400"/>
              </w:tabs>
              <w:spacing w:line="240" w:lineRule="auto"/>
            </w:pPr>
            <w:r>
              <w:t>September 2024</w:t>
            </w:r>
          </w:p>
        </w:tc>
        <w:tc>
          <w:tcPr>
            <w:tcW w:w="1899" w:type="dxa"/>
          </w:tcPr>
          <w:p w14:paraId="34BDABB3" w14:textId="1A4CED61" w:rsidR="0006747E" w:rsidRDefault="0006747E" w:rsidP="00EF0FBB">
            <w:pPr>
              <w:tabs>
                <w:tab w:val="left" w:pos="5400"/>
              </w:tabs>
              <w:spacing w:line="240" w:lineRule="auto"/>
            </w:pPr>
            <w:r>
              <w:t>0</w:t>
            </w:r>
          </w:p>
        </w:tc>
      </w:tr>
      <w:tr w:rsidR="0006747E" w14:paraId="74EB1E60" w14:textId="77777777" w:rsidTr="0006747E">
        <w:tc>
          <w:tcPr>
            <w:tcW w:w="2125" w:type="dxa"/>
          </w:tcPr>
          <w:p w14:paraId="5592EA11" w14:textId="78B65123" w:rsidR="0006747E" w:rsidRDefault="0006747E" w:rsidP="00EF0FBB">
            <w:pPr>
              <w:tabs>
                <w:tab w:val="left" w:pos="5400"/>
              </w:tabs>
              <w:spacing w:line="240" w:lineRule="auto"/>
            </w:pPr>
            <w:r>
              <w:t>October 2024</w:t>
            </w:r>
          </w:p>
        </w:tc>
        <w:tc>
          <w:tcPr>
            <w:tcW w:w="1899" w:type="dxa"/>
          </w:tcPr>
          <w:p w14:paraId="002A6180" w14:textId="143B6D18" w:rsidR="0006747E" w:rsidRDefault="0006747E" w:rsidP="00EF0FBB">
            <w:pPr>
              <w:tabs>
                <w:tab w:val="left" w:pos="5400"/>
              </w:tabs>
              <w:spacing w:line="240" w:lineRule="auto"/>
            </w:pPr>
            <w:r>
              <w:t>0</w:t>
            </w:r>
          </w:p>
        </w:tc>
      </w:tr>
      <w:tr w:rsidR="0006747E" w14:paraId="76CB8C1A" w14:textId="77777777" w:rsidTr="0006747E">
        <w:tc>
          <w:tcPr>
            <w:tcW w:w="2125" w:type="dxa"/>
          </w:tcPr>
          <w:p w14:paraId="7AF92F86" w14:textId="5488C642" w:rsidR="0006747E" w:rsidRDefault="0006747E" w:rsidP="00EF0FBB">
            <w:pPr>
              <w:tabs>
                <w:tab w:val="left" w:pos="5400"/>
              </w:tabs>
              <w:spacing w:line="240" w:lineRule="auto"/>
            </w:pPr>
            <w:r>
              <w:t>November 2024</w:t>
            </w:r>
          </w:p>
        </w:tc>
        <w:tc>
          <w:tcPr>
            <w:tcW w:w="1899" w:type="dxa"/>
          </w:tcPr>
          <w:p w14:paraId="44A1306D" w14:textId="46D4F6CD" w:rsidR="0006747E" w:rsidRDefault="0006747E" w:rsidP="00EF0FBB">
            <w:pPr>
              <w:tabs>
                <w:tab w:val="left" w:pos="5400"/>
              </w:tabs>
              <w:spacing w:line="240" w:lineRule="auto"/>
            </w:pPr>
            <w:r>
              <w:t>0</w:t>
            </w:r>
          </w:p>
        </w:tc>
      </w:tr>
      <w:tr w:rsidR="0006747E" w14:paraId="264EAB98" w14:textId="77777777" w:rsidTr="0006747E">
        <w:tc>
          <w:tcPr>
            <w:tcW w:w="2125" w:type="dxa"/>
          </w:tcPr>
          <w:p w14:paraId="131E048D" w14:textId="42BFC1F0" w:rsidR="0006747E" w:rsidRDefault="0006747E" w:rsidP="00EF0FBB">
            <w:pPr>
              <w:tabs>
                <w:tab w:val="left" w:pos="5400"/>
              </w:tabs>
              <w:spacing w:line="240" w:lineRule="auto"/>
            </w:pPr>
            <w:r>
              <w:t>December 2024</w:t>
            </w:r>
          </w:p>
        </w:tc>
        <w:tc>
          <w:tcPr>
            <w:tcW w:w="1899" w:type="dxa"/>
          </w:tcPr>
          <w:p w14:paraId="01A15BE2" w14:textId="730D0271" w:rsidR="0006747E" w:rsidRDefault="0006747E" w:rsidP="00EF0FBB">
            <w:pPr>
              <w:tabs>
                <w:tab w:val="left" w:pos="5400"/>
              </w:tabs>
              <w:spacing w:line="240" w:lineRule="auto"/>
            </w:pPr>
            <w:r>
              <w:t>0</w:t>
            </w:r>
          </w:p>
        </w:tc>
      </w:tr>
      <w:tr w:rsidR="0006747E" w14:paraId="33B14872" w14:textId="77777777" w:rsidTr="0006747E">
        <w:tc>
          <w:tcPr>
            <w:tcW w:w="2125" w:type="dxa"/>
          </w:tcPr>
          <w:p w14:paraId="3319AC6E" w14:textId="14802A36" w:rsidR="0006747E" w:rsidRDefault="0006747E" w:rsidP="00EF0FBB">
            <w:pPr>
              <w:tabs>
                <w:tab w:val="left" w:pos="5400"/>
              </w:tabs>
              <w:spacing w:line="240" w:lineRule="auto"/>
            </w:pPr>
            <w:r>
              <w:t>January 2025</w:t>
            </w:r>
          </w:p>
        </w:tc>
        <w:tc>
          <w:tcPr>
            <w:tcW w:w="1899" w:type="dxa"/>
          </w:tcPr>
          <w:p w14:paraId="7AF8BE81" w14:textId="55239F70" w:rsidR="0006747E" w:rsidRDefault="0006747E" w:rsidP="00EF0FBB">
            <w:pPr>
              <w:tabs>
                <w:tab w:val="left" w:pos="5400"/>
              </w:tabs>
              <w:spacing w:line="240" w:lineRule="auto"/>
            </w:pPr>
            <w:r>
              <w:t>0</w:t>
            </w:r>
          </w:p>
        </w:tc>
      </w:tr>
      <w:tr w:rsidR="0006747E" w14:paraId="74A20F61" w14:textId="77777777" w:rsidTr="0006747E">
        <w:tc>
          <w:tcPr>
            <w:tcW w:w="2125" w:type="dxa"/>
          </w:tcPr>
          <w:p w14:paraId="33351D19" w14:textId="21C88C76" w:rsidR="0006747E" w:rsidRDefault="0006747E" w:rsidP="00EF0FBB">
            <w:pPr>
              <w:tabs>
                <w:tab w:val="left" w:pos="5400"/>
              </w:tabs>
              <w:spacing w:line="240" w:lineRule="auto"/>
            </w:pPr>
            <w:r>
              <w:t>February 2025</w:t>
            </w:r>
          </w:p>
        </w:tc>
        <w:tc>
          <w:tcPr>
            <w:tcW w:w="1899" w:type="dxa"/>
          </w:tcPr>
          <w:p w14:paraId="17AA2033" w14:textId="2076AB31" w:rsidR="0006747E" w:rsidRDefault="0006747E" w:rsidP="00EF0FBB">
            <w:pPr>
              <w:tabs>
                <w:tab w:val="left" w:pos="5400"/>
              </w:tabs>
              <w:spacing w:line="240" w:lineRule="auto"/>
            </w:pPr>
            <w:r>
              <w:t>1</w:t>
            </w:r>
          </w:p>
        </w:tc>
      </w:tr>
      <w:tr w:rsidR="0006747E" w14:paraId="20F25AA0" w14:textId="77777777" w:rsidTr="0006747E">
        <w:tc>
          <w:tcPr>
            <w:tcW w:w="2125" w:type="dxa"/>
          </w:tcPr>
          <w:p w14:paraId="0834E7B0" w14:textId="6F423BCA" w:rsidR="0006747E" w:rsidRDefault="0006747E" w:rsidP="00EF0FBB">
            <w:pPr>
              <w:tabs>
                <w:tab w:val="left" w:pos="5400"/>
              </w:tabs>
              <w:spacing w:line="240" w:lineRule="auto"/>
            </w:pPr>
            <w:r>
              <w:t>March 2025</w:t>
            </w:r>
          </w:p>
        </w:tc>
        <w:tc>
          <w:tcPr>
            <w:tcW w:w="1899" w:type="dxa"/>
          </w:tcPr>
          <w:p w14:paraId="70A910B1" w14:textId="52A8653A" w:rsidR="0006747E" w:rsidRDefault="0006747E" w:rsidP="00EF0FBB">
            <w:pPr>
              <w:tabs>
                <w:tab w:val="left" w:pos="5400"/>
              </w:tabs>
              <w:spacing w:line="240" w:lineRule="auto"/>
            </w:pPr>
            <w:r>
              <w:t>0</w:t>
            </w:r>
          </w:p>
        </w:tc>
      </w:tr>
      <w:tr w:rsidR="0006747E" w14:paraId="7D24D505" w14:textId="77777777" w:rsidTr="0006747E">
        <w:tc>
          <w:tcPr>
            <w:tcW w:w="2125" w:type="dxa"/>
          </w:tcPr>
          <w:p w14:paraId="38C2C30E" w14:textId="08BBBAE6" w:rsidR="0006747E" w:rsidRDefault="0006747E" w:rsidP="00EF0FBB">
            <w:pPr>
              <w:tabs>
                <w:tab w:val="left" w:pos="5400"/>
              </w:tabs>
              <w:spacing w:line="240" w:lineRule="auto"/>
            </w:pPr>
            <w:r>
              <w:t>April 2025</w:t>
            </w:r>
          </w:p>
        </w:tc>
        <w:tc>
          <w:tcPr>
            <w:tcW w:w="1899" w:type="dxa"/>
          </w:tcPr>
          <w:p w14:paraId="22C1BAB7" w14:textId="21403E3C" w:rsidR="0006747E" w:rsidRDefault="0006747E" w:rsidP="00EF0FBB">
            <w:pPr>
              <w:tabs>
                <w:tab w:val="left" w:pos="5400"/>
              </w:tabs>
              <w:spacing w:line="240" w:lineRule="auto"/>
            </w:pPr>
            <w:r>
              <w:t>0</w:t>
            </w:r>
          </w:p>
        </w:tc>
      </w:tr>
      <w:tr w:rsidR="0006747E" w14:paraId="23637C06" w14:textId="77777777" w:rsidTr="0006747E">
        <w:tc>
          <w:tcPr>
            <w:tcW w:w="2125" w:type="dxa"/>
          </w:tcPr>
          <w:p w14:paraId="090D1928" w14:textId="6EB13CCE" w:rsidR="0006747E" w:rsidRDefault="0006747E" w:rsidP="00EF0FBB">
            <w:pPr>
              <w:tabs>
                <w:tab w:val="left" w:pos="5400"/>
              </w:tabs>
              <w:spacing w:line="240" w:lineRule="auto"/>
            </w:pPr>
            <w:r>
              <w:t>May 2025</w:t>
            </w:r>
          </w:p>
        </w:tc>
        <w:tc>
          <w:tcPr>
            <w:tcW w:w="1899" w:type="dxa"/>
          </w:tcPr>
          <w:p w14:paraId="568ABC37" w14:textId="38A0474F" w:rsidR="0006747E" w:rsidRDefault="0006747E" w:rsidP="00EF0FBB">
            <w:pPr>
              <w:tabs>
                <w:tab w:val="left" w:pos="5400"/>
              </w:tabs>
              <w:spacing w:line="240" w:lineRule="auto"/>
            </w:pPr>
            <w:r>
              <w:t>0</w:t>
            </w:r>
          </w:p>
        </w:tc>
      </w:tr>
    </w:tbl>
    <w:p w14:paraId="51CBAC85" w14:textId="4F4F7BAC" w:rsidR="00112E8D" w:rsidRDefault="0006747E" w:rsidP="00112E8D">
      <w:pPr>
        <w:tabs>
          <w:tab w:val="left" w:pos="5400"/>
        </w:tabs>
      </w:pPr>
      <w:r>
        <w:t xml:space="preserve">All statistics are provisional and should be treated as management information. </w:t>
      </w:r>
      <w:r w:rsidR="001E10F4">
        <w:br/>
        <w:t xml:space="preserve">Data was </w:t>
      </w:r>
      <w:r>
        <w:t xml:space="preserve">extracted from Police Scotland systems and are correct as </w:t>
      </w:r>
      <w:proofErr w:type="gramStart"/>
      <w:r>
        <w:t>at</w:t>
      </w:r>
      <w:proofErr w:type="gramEnd"/>
      <w:r>
        <w:t xml:space="preserve"> 13 May 2025.</w:t>
      </w:r>
      <w:r w:rsidR="001E10F4">
        <w:br/>
        <w:t>E</w:t>
      </w:r>
      <w:r>
        <w:t>xtracted by date raised and restricting for Charge Stats code 604716.</w:t>
      </w:r>
      <w:r>
        <w:tab/>
      </w:r>
      <w:r>
        <w:tab/>
      </w:r>
      <w:r>
        <w:tab/>
      </w:r>
      <w:r>
        <w:tab/>
      </w:r>
      <w:r>
        <w:tab/>
      </w:r>
      <w:r>
        <w:tab/>
      </w:r>
      <w:r>
        <w:tab/>
      </w:r>
    </w:p>
    <w:p w14:paraId="0AE3B979" w14:textId="27375B65" w:rsidR="00112E8D" w:rsidRDefault="00112E8D" w:rsidP="00112E8D">
      <w:pPr>
        <w:tabs>
          <w:tab w:val="left" w:pos="5400"/>
        </w:tabs>
      </w:pPr>
      <w:r>
        <w:t>In relation to the arresting officers, I am refusing to provide their details in terms of s</w:t>
      </w:r>
      <w:r w:rsidRPr="00453F0A">
        <w:t>ection 16</w:t>
      </w:r>
      <w:r>
        <w:t xml:space="preserve">(1) of the Act on the basis that the following exemptions apply: </w:t>
      </w:r>
    </w:p>
    <w:p w14:paraId="078CF3DC" w14:textId="63C2B0E3" w:rsidR="00112E8D" w:rsidRPr="00112E8D" w:rsidRDefault="00112E8D" w:rsidP="00112E8D">
      <w:pPr>
        <w:tabs>
          <w:tab w:val="left" w:pos="5400"/>
        </w:tabs>
      </w:pPr>
      <w:r w:rsidRPr="005B3FC4">
        <w:rPr>
          <w:bCs/>
          <w:i/>
          <w:iCs/>
        </w:rPr>
        <w:t>Section 34(</w:t>
      </w:r>
      <w:r w:rsidR="001E10F4">
        <w:rPr>
          <w:bCs/>
          <w:i/>
          <w:iCs/>
        </w:rPr>
        <w:t>1</w:t>
      </w:r>
      <w:r w:rsidRPr="005B3FC4">
        <w:rPr>
          <w:bCs/>
          <w:i/>
          <w:iCs/>
        </w:rPr>
        <w:t>)(b) - Investigations</w:t>
      </w:r>
      <w:r>
        <w:rPr>
          <w:bCs/>
          <w:i/>
          <w:iCs/>
        </w:rPr>
        <w:br/>
      </w:r>
      <w:r w:rsidRPr="005B3FC4">
        <w:rPr>
          <w:bCs/>
        </w:rPr>
        <w:t xml:space="preserve">Information is exempt </w:t>
      </w:r>
      <w:r>
        <w:rPr>
          <w:bCs/>
        </w:rPr>
        <w:t xml:space="preserve">where it is </w:t>
      </w:r>
      <w:r w:rsidRPr="005B3FC4">
        <w:rPr>
          <w:bCs/>
        </w:rPr>
        <w:t xml:space="preserve">held for the purpose of an investigation, </w:t>
      </w:r>
      <w:r w:rsidR="001E10F4">
        <w:rPr>
          <w:bCs/>
        </w:rPr>
        <w:t>which may lead to a report being submitted to COPFS</w:t>
      </w:r>
      <w:r>
        <w:rPr>
          <w:bCs/>
        </w:rPr>
        <w:t>.</w:t>
      </w:r>
    </w:p>
    <w:p w14:paraId="6D6D72C5" w14:textId="77777777" w:rsidR="00112E8D" w:rsidRDefault="00112E8D" w:rsidP="00112E8D">
      <w:pPr>
        <w:tabs>
          <w:tab w:val="left" w:pos="5400"/>
        </w:tabs>
      </w:pPr>
      <w:r w:rsidRPr="00112E8D">
        <w:rPr>
          <w:i/>
          <w:iCs/>
        </w:rPr>
        <w:t>Section 38(1)(b) - Personal Data</w:t>
      </w:r>
      <w:r w:rsidRPr="00112E8D">
        <w:rPr>
          <w:i/>
          <w:iCs/>
        </w:rPr>
        <w:br/>
      </w:r>
      <w:r w:rsidRPr="00023DDE">
        <w:t>Personal data is defined in Article 4 of GDPR as:</w:t>
      </w:r>
      <w:r>
        <w:t xml:space="preserve"> </w:t>
      </w:r>
      <w:r w:rsidRPr="00112E8D">
        <w:rPr>
          <w:i/>
          <w:iCs/>
        </w:rPr>
        <w:t>‘Information relating to an identified or identifiable natural person […]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112E8D">
        <w:rPr>
          <w:i/>
          <w:iCs/>
        </w:rPr>
        <w:br/>
      </w:r>
      <w:r>
        <w:t>P</w:t>
      </w:r>
      <w:r w:rsidRPr="00023DDE">
        <w:t>ersonal data is exempt from disclosure where disclosure would contravene any of the data protection principles set out at Article 5(1) of the GDPR</w:t>
      </w:r>
      <w:r>
        <w:t>.</w:t>
      </w:r>
      <w:r>
        <w:br/>
      </w:r>
      <w:r w:rsidRPr="00023DDE">
        <w:t xml:space="preserve">Article 6 of the GDPR goes on to state that processing shall be lawful only if certain </w:t>
      </w:r>
      <w:r w:rsidRPr="00023DDE">
        <w:lastRenderedPageBreak/>
        <w:t>conditions are met.</w:t>
      </w:r>
      <w:r>
        <w:br/>
      </w:r>
      <w:r w:rsidRPr="00023DDE">
        <w:t xml:space="preserve">The only potentially applicable condition is set out at Article 6(1)(f) which states: </w:t>
      </w:r>
    </w:p>
    <w:p w14:paraId="1AD8EBA6" w14:textId="77777777" w:rsidR="00112E8D" w:rsidRDefault="00112E8D" w:rsidP="00112E8D">
      <w:pPr>
        <w:pStyle w:val="ListParagraph"/>
        <w:tabs>
          <w:tab w:val="left" w:pos="5400"/>
        </w:tabs>
        <w:ind w:left="0"/>
      </w:pPr>
      <w:r w:rsidRPr="00C523E0">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r>
        <w:rPr>
          <w:i/>
          <w:iCs/>
        </w:rPr>
        <w:br/>
      </w:r>
      <w:r w:rsidRPr="00023DDE">
        <w:t>Whilst I accept that you may have a legitimate interest with regards the disclosure of the report, I am nonetheless of the view that those interests are overridden by the interests or fundamental rights and freedoms of the data subject(s). On that basis, it is my view that disclosure of the information sought would be unlawful.</w:t>
      </w:r>
    </w:p>
    <w:p w14:paraId="34BDABBD" w14:textId="6DFA299C"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2E648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10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140C1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10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80EEE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10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3934B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10F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4508A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10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48AC1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10F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37974"/>
    <w:multiLevelType w:val="hybridMultilevel"/>
    <w:tmpl w:val="8F206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662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747E"/>
    <w:rsid w:val="00090F3B"/>
    <w:rsid w:val="000E2F19"/>
    <w:rsid w:val="000E6526"/>
    <w:rsid w:val="00112E8D"/>
    <w:rsid w:val="00141533"/>
    <w:rsid w:val="00151DD0"/>
    <w:rsid w:val="00167528"/>
    <w:rsid w:val="00195CC4"/>
    <w:rsid w:val="001E10F4"/>
    <w:rsid w:val="00207326"/>
    <w:rsid w:val="00253DF6"/>
    <w:rsid w:val="00255F1E"/>
    <w:rsid w:val="002F5274"/>
    <w:rsid w:val="0036503B"/>
    <w:rsid w:val="00376A4A"/>
    <w:rsid w:val="003D6D03"/>
    <w:rsid w:val="003E12CA"/>
    <w:rsid w:val="003E655B"/>
    <w:rsid w:val="004010DC"/>
    <w:rsid w:val="004341F0"/>
    <w:rsid w:val="00456324"/>
    <w:rsid w:val="00475460"/>
    <w:rsid w:val="00490317"/>
    <w:rsid w:val="00491644"/>
    <w:rsid w:val="00496A08"/>
    <w:rsid w:val="004E1605"/>
    <w:rsid w:val="004F653C"/>
    <w:rsid w:val="00520773"/>
    <w:rsid w:val="00540A52"/>
    <w:rsid w:val="00557306"/>
    <w:rsid w:val="00645CFA"/>
    <w:rsid w:val="00685219"/>
    <w:rsid w:val="00685797"/>
    <w:rsid w:val="006D5799"/>
    <w:rsid w:val="007440EA"/>
    <w:rsid w:val="00750D83"/>
    <w:rsid w:val="00785DBC"/>
    <w:rsid w:val="00793DD5"/>
    <w:rsid w:val="00795D56"/>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465"/>
    <w:rsid w:val="00D27DC5"/>
    <w:rsid w:val="00D47E36"/>
    <w:rsid w:val="00DA1167"/>
    <w:rsid w:val="00DD4B50"/>
    <w:rsid w:val="00DF3689"/>
    <w:rsid w:val="00E25AB4"/>
    <w:rsid w:val="00E55D79"/>
    <w:rsid w:val="00EE2373"/>
    <w:rsid w:val="00EF0FBB"/>
    <w:rsid w:val="00EF4761"/>
    <w:rsid w:val="00FC2DA7"/>
    <w:rsid w:val="00FC3266"/>
    <w:rsid w:val="00FD182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9163">
      <w:bodyDiv w:val="1"/>
      <w:marLeft w:val="0"/>
      <w:marRight w:val="0"/>
      <w:marTop w:val="0"/>
      <w:marBottom w:val="0"/>
      <w:divBdr>
        <w:top w:val="none" w:sz="0" w:space="0" w:color="auto"/>
        <w:left w:val="none" w:sz="0" w:space="0" w:color="auto"/>
        <w:bottom w:val="none" w:sz="0" w:space="0" w:color="auto"/>
        <w:right w:val="none" w:sz="0" w:space="0" w:color="auto"/>
      </w:divBdr>
    </w:div>
    <w:div w:id="1105805360">
      <w:bodyDiv w:val="1"/>
      <w:marLeft w:val="0"/>
      <w:marRight w:val="0"/>
      <w:marTop w:val="0"/>
      <w:marBottom w:val="0"/>
      <w:divBdr>
        <w:top w:val="none" w:sz="0" w:space="0" w:color="auto"/>
        <w:left w:val="none" w:sz="0" w:space="0" w:color="auto"/>
        <w:bottom w:val="none" w:sz="0" w:space="0" w:color="auto"/>
        <w:right w:val="none" w:sz="0" w:space="0" w:color="auto"/>
      </w:divBdr>
    </w:div>
    <w:div w:id="11649706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754</Words>
  <Characters>4299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