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605D150" w:rsidR="00B17211" w:rsidRPr="00B17211" w:rsidRDefault="00B17211" w:rsidP="007F490F">
            <w:r w:rsidRPr="007F490F">
              <w:rPr>
                <w:rStyle w:val="Heading2Char"/>
              </w:rPr>
              <w:t>Our reference:</w:t>
            </w:r>
            <w:r>
              <w:t xml:space="preserve">  FOI 2</w:t>
            </w:r>
            <w:r w:rsidR="00EF0FBB">
              <w:t>5</w:t>
            </w:r>
            <w:r>
              <w:t>-</w:t>
            </w:r>
            <w:r w:rsidR="00E623BD">
              <w:t>2480</w:t>
            </w:r>
          </w:p>
          <w:p w14:paraId="34BDABA6" w14:textId="471CAD7D" w:rsidR="00B17211" w:rsidRDefault="00456324" w:rsidP="00EE2373">
            <w:r w:rsidRPr="007F490F">
              <w:rPr>
                <w:rStyle w:val="Heading2Char"/>
              </w:rPr>
              <w:t>Respon</w:t>
            </w:r>
            <w:r w:rsidR="007D55F6">
              <w:rPr>
                <w:rStyle w:val="Heading2Char"/>
              </w:rPr>
              <w:t>ded to:</w:t>
            </w:r>
            <w:r w:rsidR="007F490F">
              <w:t xml:space="preserve">  </w:t>
            </w:r>
            <w:r w:rsidR="00605115">
              <w:t>23</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BAF669A" w14:textId="77777777" w:rsidR="006909CA" w:rsidRDefault="006909CA" w:rsidP="006909CA">
      <w:pPr>
        <w:rPr>
          <w:b/>
        </w:rPr>
      </w:pPr>
      <w:r w:rsidRPr="00793DD5">
        <w:t xml:space="preserve">Your recent request for information is replicated below, together with </w:t>
      </w:r>
      <w:r>
        <w:t>our</w:t>
      </w:r>
      <w:r w:rsidRPr="00793DD5">
        <w:t xml:space="preserve"> response.</w:t>
      </w:r>
    </w:p>
    <w:p w14:paraId="1300175C" w14:textId="77777777" w:rsidR="006909CA" w:rsidRDefault="006909CA" w:rsidP="006909CA">
      <w:pPr>
        <w:pStyle w:val="Heading2"/>
      </w:pPr>
      <w:r>
        <w:t>(i)The top 10 police officers with the most public complaints/allegations about their behaviour in the last decade (calendar years 2014-2024). Please include the number of allegations made, and whether they are still in post. I am not seeking the names of the officers.</w:t>
      </w:r>
    </w:p>
    <w:p w14:paraId="058CF02E" w14:textId="77777777" w:rsidR="006909CA" w:rsidRDefault="006909CA" w:rsidP="006909CA">
      <w:pPr>
        <w:rPr>
          <w:lang w:eastAsia="en-GB"/>
        </w:rPr>
      </w:pPr>
      <w:r>
        <w:t xml:space="preserve">The Police Scotland </w:t>
      </w:r>
      <w:hyperlink r:id="rId11" w:history="1">
        <w:r>
          <w:rPr>
            <w:rStyle w:val="Hyperlink"/>
            <w:color w:val="156082"/>
          </w:rPr>
          <w:t>Complaints About the Police Standard Operating Procedure (SOP)</w:t>
        </w:r>
      </w:hyperlink>
      <w:r>
        <w:t xml:space="preserve"> outlines how we deal with complaints and they are categorised as per appendices C and D of that document.</w:t>
      </w:r>
    </w:p>
    <w:p w14:paraId="0AE6BA54" w14:textId="77777777" w:rsidR="006909CA" w:rsidRDefault="006909CA" w:rsidP="006909CA">
      <w:r>
        <w:t xml:space="preserve">There can be one or more allegations contained within one complaint case and equally, there can be one or more subject officers relative to each allegation. Subject officers are counted once per conduct case, however the same officer may be subject to multiple cases and therefore may appear more than once. Each case may involve multiple allegations and (for complaints only) each allegation may be linked to multiple subject officers. </w:t>
      </w:r>
    </w:p>
    <w:p w14:paraId="5086E309" w14:textId="77777777" w:rsidR="006909CA" w:rsidRDefault="006909CA" w:rsidP="006909CA">
      <w:r>
        <w:t xml:space="preserve">Data has been provided below which details the ten individual Police officers subject to the most complaints received 01/04/2014 – 31/12/2024 inclusive. The number of allegations linked to those same officers has also been provided. </w:t>
      </w:r>
    </w:p>
    <w:p w14:paraId="61C0A4C9" w14:textId="77777777" w:rsidR="006909CA" w:rsidRDefault="006909CA" w:rsidP="006909CA">
      <w:r>
        <w:t xml:space="preserve">Please note that each complaint may involve multiple allegations, therefore the number of allegations may vary from the number of complaints. </w:t>
      </w:r>
    </w:p>
    <w:p w14:paraId="367EAF07" w14:textId="77777777" w:rsidR="006909CA" w:rsidRDefault="006909CA" w:rsidP="006909CA">
      <w:pPr>
        <w:tabs>
          <w:tab w:val="left" w:pos="5400"/>
        </w:tabs>
        <w:rPr>
          <w:rFonts w:eastAsiaTheme="majorEastAsia" w:cstheme="majorBidi"/>
          <w:bCs/>
          <w:color w:val="000000" w:themeColor="text1"/>
          <w:szCs w:val="26"/>
        </w:rPr>
      </w:pPr>
      <w:r>
        <w:t xml:space="preserve">Please note that the national Professional Standards database only became operational on 01/04/2014, as such any data prior to this date is no held </w:t>
      </w:r>
      <w:r>
        <w:rPr>
          <w:rFonts w:eastAsiaTheme="majorEastAsia" w:cstheme="majorBidi"/>
          <w:bCs/>
          <w:color w:val="000000" w:themeColor="text1"/>
          <w:szCs w:val="26"/>
        </w:rPr>
        <w:t xml:space="preserve">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50D6A9F" w14:textId="77777777" w:rsidR="006909CA" w:rsidRDefault="006909CA" w:rsidP="006909CA">
      <w:r>
        <w:t>Table 1 below details the top 10 ranking of Police officers subject to complaints received 01/04/2014 – 31/12/2024 inclusive, by number of complaints and number of allegations.</w:t>
      </w:r>
    </w:p>
    <w:p w14:paraId="5EC02FC0" w14:textId="77777777" w:rsidR="006909CA" w:rsidRDefault="006909CA" w:rsidP="006909CA">
      <w:pPr>
        <w:rPr>
          <w:u w:val="single"/>
        </w:rPr>
      </w:pPr>
    </w:p>
    <w:p w14:paraId="0DF4B85D" w14:textId="77777777" w:rsidR="006909CA" w:rsidRPr="00EA2B9F" w:rsidRDefault="006909CA" w:rsidP="006909CA">
      <w:pPr>
        <w:rPr>
          <w:u w:val="single"/>
        </w:rPr>
      </w:pPr>
      <w:r w:rsidRPr="00EA2B9F">
        <w:rPr>
          <w:u w:val="single"/>
        </w:rPr>
        <w:t>Table 1</w:t>
      </w:r>
    </w:p>
    <w:tbl>
      <w:tblPr>
        <w:tblW w:w="0" w:type="auto"/>
        <w:tblLayout w:type="fixed"/>
        <w:tblCellMar>
          <w:left w:w="0" w:type="dxa"/>
          <w:right w:w="0" w:type="dxa"/>
        </w:tblCellMar>
        <w:tblLook w:val="04A0" w:firstRow="1" w:lastRow="0" w:firstColumn="1" w:lastColumn="0" w:noHBand="0" w:noVBand="1"/>
      </w:tblPr>
      <w:tblGrid>
        <w:gridCol w:w="2400"/>
        <w:gridCol w:w="2552"/>
        <w:gridCol w:w="2693"/>
      </w:tblGrid>
      <w:tr w:rsidR="006909CA" w14:paraId="3DB5B2C6" w14:textId="77777777" w:rsidTr="00713EF6">
        <w:trPr>
          <w:trHeight w:val="315"/>
        </w:trPr>
        <w:tc>
          <w:tcPr>
            <w:tcW w:w="2400"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00517293" w14:textId="77777777" w:rsidR="006909CA" w:rsidRDefault="006909CA" w:rsidP="00713EF6">
            <w:r>
              <w:t>Subject officer ranking for complaints volume</w:t>
            </w:r>
          </w:p>
        </w:tc>
        <w:tc>
          <w:tcPr>
            <w:tcW w:w="2552"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4FA51A03" w14:textId="77777777" w:rsidR="006909CA" w:rsidRDefault="006909CA" w:rsidP="00713EF6">
            <w:r>
              <w:t>Number of complaints</w:t>
            </w:r>
          </w:p>
        </w:tc>
        <w:tc>
          <w:tcPr>
            <w:tcW w:w="2693"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0BE3D02B" w14:textId="77777777" w:rsidR="006909CA" w:rsidRDefault="006909CA" w:rsidP="00713EF6">
            <w:r>
              <w:t>Number of allegations</w:t>
            </w:r>
          </w:p>
        </w:tc>
      </w:tr>
      <w:tr w:rsidR="006909CA" w14:paraId="57B5E269" w14:textId="77777777" w:rsidTr="00713EF6">
        <w:trPr>
          <w:trHeight w:val="315"/>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E9835C2" w14:textId="77777777" w:rsidR="006909CA" w:rsidRDefault="006909CA" w:rsidP="00713EF6">
            <w:r>
              <w:t>1st</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hideMark/>
          </w:tcPr>
          <w:p w14:paraId="30535FE5" w14:textId="77777777" w:rsidR="006909CA" w:rsidRDefault="006909CA" w:rsidP="00713EF6">
            <w:r>
              <w:t>34</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099296F5" w14:textId="77777777" w:rsidR="006909CA" w:rsidRDefault="006909CA" w:rsidP="00713EF6">
            <w:r>
              <w:t>53</w:t>
            </w:r>
          </w:p>
        </w:tc>
      </w:tr>
      <w:tr w:rsidR="006909CA" w14:paraId="285C734E" w14:textId="77777777" w:rsidTr="00713EF6">
        <w:trPr>
          <w:trHeight w:val="315"/>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BBB2D4" w14:textId="77777777" w:rsidR="006909CA" w:rsidRDefault="006909CA" w:rsidP="00713EF6">
            <w:r>
              <w:t>2nd</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hideMark/>
          </w:tcPr>
          <w:p w14:paraId="76C8634D" w14:textId="77777777" w:rsidR="006909CA" w:rsidRDefault="006909CA" w:rsidP="00713EF6">
            <w:r>
              <w:t>32</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00967D95" w14:textId="77777777" w:rsidR="006909CA" w:rsidRDefault="006909CA" w:rsidP="00713EF6">
            <w:r>
              <w:t>71</w:t>
            </w:r>
          </w:p>
        </w:tc>
      </w:tr>
      <w:tr w:rsidR="006909CA" w14:paraId="3BD5B18C" w14:textId="77777777" w:rsidTr="00713EF6">
        <w:trPr>
          <w:trHeight w:val="315"/>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DC03753" w14:textId="77777777" w:rsidR="006909CA" w:rsidRDefault="006909CA" w:rsidP="00713EF6">
            <w:r>
              <w:t>3rd</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hideMark/>
          </w:tcPr>
          <w:p w14:paraId="52175523" w14:textId="77777777" w:rsidR="006909CA" w:rsidRDefault="006909CA" w:rsidP="00713EF6">
            <w:r>
              <w:t>29</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642A0A30" w14:textId="77777777" w:rsidR="006909CA" w:rsidRDefault="006909CA" w:rsidP="00713EF6">
            <w:r>
              <w:t>32</w:t>
            </w:r>
          </w:p>
        </w:tc>
      </w:tr>
      <w:tr w:rsidR="006909CA" w14:paraId="60AE4AB2" w14:textId="77777777" w:rsidTr="00713EF6">
        <w:trPr>
          <w:trHeight w:val="315"/>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092719" w14:textId="77777777" w:rsidR="006909CA" w:rsidRDefault="006909CA" w:rsidP="00713EF6">
            <w:r>
              <w:t>4th</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hideMark/>
          </w:tcPr>
          <w:p w14:paraId="4A2D9863" w14:textId="77777777" w:rsidR="006909CA" w:rsidRDefault="006909CA" w:rsidP="00713EF6">
            <w:r>
              <w:t>27</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523BF18B" w14:textId="77777777" w:rsidR="006909CA" w:rsidRDefault="006909CA" w:rsidP="00713EF6">
            <w:r>
              <w:t>52</w:t>
            </w:r>
          </w:p>
        </w:tc>
      </w:tr>
      <w:tr w:rsidR="006909CA" w14:paraId="1CFED08E" w14:textId="77777777" w:rsidTr="00713EF6">
        <w:trPr>
          <w:trHeight w:val="315"/>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9746968" w14:textId="77777777" w:rsidR="006909CA" w:rsidRDefault="006909CA" w:rsidP="00713EF6">
            <w:r>
              <w:t>5th</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hideMark/>
          </w:tcPr>
          <w:p w14:paraId="21FC6CFC" w14:textId="77777777" w:rsidR="006909CA" w:rsidRDefault="006909CA" w:rsidP="00713EF6">
            <w:r>
              <w:t>26</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6BEDCDD8" w14:textId="77777777" w:rsidR="006909CA" w:rsidRDefault="006909CA" w:rsidP="00713EF6">
            <w:r>
              <w:t>22</w:t>
            </w:r>
          </w:p>
        </w:tc>
      </w:tr>
      <w:tr w:rsidR="006909CA" w14:paraId="4AFE69CE" w14:textId="77777777" w:rsidTr="00713EF6">
        <w:trPr>
          <w:trHeight w:val="315"/>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939F70" w14:textId="77777777" w:rsidR="006909CA" w:rsidRDefault="006909CA" w:rsidP="00713EF6">
            <w:r>
              <w:t xml:space="preserve">6th </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hideMark/>
          </w:tcPr>
          <w:p w14:paraId="1858934F" w14:textId="77777777" w:rsidR="006909CA" w:rsidRDefault="006909CA" w:rsidP="00713EF6">
            <w:r>
              <w:t>25</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19180ED9" w14:textId="77777777" w:rsidR="006909CA" w:rsidRDefault="006909CA" w:rsidP="00713EF6">
            <w:r>
              <w:t>28</w:t>
            </w:r>
          </w:p>
        </w:tc>
      </w:tr>
      <w:tr w:rsidR="006909CA" w14:paraId="0568C69F" w14:textId="77777777" w:rsidTr="00713EF6">
        <w:trPr>
          <w:trHeight w:val="315"/>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2DEEE9" w14:textId="77777777" w:rsidR="006909CA" w:rsidRDefault="006909CA" w:rsidP="00713EF6">
            <w:r>
              <w:t xml:space="preserve">7th </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hideMark/>
          </w:tcPr>
          <w:p w14:paraId="063329C7" w14:textId="77777777" w:rsidR="006909CA" w:rsidRDefault="006909CA" w:rsidP="00713EF6">
            <w:r>
              <w:t>25</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73D6758E" w14:textId="77777777" w:rsidR="006909CA" w:rsidRDefault="006909CA" w:rsidP="00713EF6">
            <w:r>
              <w:t>22</w:t>
            </w:r>
          </w:p>
        </w:tc>
      </w:tr>
      <w:tr w:rsidR="006909CA" w14:paraId="6849BC50" w14:textId="77777777" w:rsidTr="00713EF6">
        <w:trPr>
          <w:trHeight w:val="315"/>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9862F5" w14:textId="77777777" w:rsidR="006909CA" w:rsidRDefault="006909CA" w:rsidP="00713EF6">
            <w:r>
              <w:t>8th</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hideMark/>
          </w:tcPr>
          <w:p w14:paraId="34191663" w14:textId="77777777" w:rsidR="006909CA" w:rsidRDefault="006909CA" w:rsidP="00713EF6">
            <w:r>
              <w:t>24</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417CB572" w14:textId="77777777" w:rsidR="006909CA" w:rsidRDefault="006909CA" w:rsidP="00713EF6">
            <w:r>
              <w:t>47</w:t>
            </w:r>
          </w:p>
        </w:tc>
      </w:tr>
      <w:tr w:rsidR="006909CA" w14:paraId="56348CEA" w14:textId="77777777" w:rsidTr="00713EF6">
        <w:trPr>
          <w:trHeight w:val="315"/>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FCA4A76" w14:textId="77777777" w:rsidR="006909CA" w:rsidRDefault="006909CA" w:rsidP="00713EF6">
            <w:r>
              <w:t>9th</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hideMark/>
          </w:tcPr>
          <w:p w14:paraId="3E97854E" w14:textId="77777777" w:rsidR="006909CA" w:rsidRDefault="006909CA" w:rsidP="00713EF6">
            <w:r>
              <w:t>24</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55E1E5AA" w14:textId="77777777" w:rsidR="006909CA" w:rsidRDefault="006909CA" w:rsidP="00713EF6">
            <w:r>
              <w:t>23</w:t>
            </w:r>
          </w:p>
        </w:tc>
      </w:tr>
      <w:tr w:rsidR="006909CA" w14:paraId="39EB8091" w14:textId="77777777" w:rsidTr="00713EF6">
        <w:trPr>
          <w:trHeight w:val="315"/>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0EC4E6" w14:textId="77777777" w:rsidR="006909CA" w:rsidRDefault="006909CA" w:rsidP="00713EF6">
            <w:r>
              <w:t xml:space="preserve">10th </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hideMark/>
          </w:tcPr>
          <w:p w14:paraId="06A487DF" w14:textId="77777777" w:rsidR="006909CA" w:rsidRDefault="006909CA" w:rsidP="00713EF6">
            <w:r>
              <w:t>24</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70FD2118" w14:textId="77777777" w:rsidR="006909CA" w:rsidRDefault="006909CA" w:rsidP="00713EF6">
            <w:r>
              <w:t>41</w:t>
            </w:r>
          </w:p>
        </w:tc>
      </w:tr>
    </w:tbl>
    <w:p w14:paraId="1AB0156B" w14:textId="77777777" w:rsidR="006909CA" w:rsidRDefault="006909CA" w:rsidP="006909CA">
      <w:pPr>
        <w:tabs>
          <w:tab w:val="left" w:pos="5400"/>
        </w:tabs>
      </w:pPr>
    </w:p>
    <w:p w14:paraId="70325C12" w14:textId="77777777" w:rsidR="006909CA" w:rsidRDefault="006909CA" w:rsidP="006909CA">
      <w:pPr>
        <w:pStyle w:val="Heading2"/>
      </w:pPr>
      <w:r>
        <w:t>(ii)If no longer in post, please provide the reason(s) why.</w:t>
      </w:r>
    </w:p>
    <w:p w14:paraId="57031334" w14:textId="77777777" w:rsidR="006909CA" w:rsidRDefault="006909CA" w:rsidP="006909CA">
      <w:r>
        <w:t>All subject officers referenced in our response to question above remain in service, as at 11/12/2025.</w:t>
      </w:r>
    </w:p>
    <w:p w14:paraId="2C0484B0" w14:textId="77777777" w:rsidR="006909CA" w:rsidRDefault="006909CA" w:rsidP="006909CA">
      <w:pPr>
        <w:pStyle w:val="Heading2"/>
      </w:pPr>
      <w:r>
        <w:t>The number of officers with public complaints made against them in the last decade (calendar years 2014-2024) broken down by category e.g. misuse of vehicles, sexual misconduct, abuse of position etc.</w:t>
      </w:r>
    </w:p>
    <w:p w14:paraId="18572991" w14:textId="62E24FDA" w:rsidR="000B2596" w:rsidRDefault="006909CA" w:rsidP="006909CA">
      <w:r>
        <w:t>For</w:t>
      </w:r>
      <w:r w:rsidRPr="004C3F78">
        <w:t xml:space="preserve"> </w:t>
      </w:r>
      <w:r>
        <w:t xml:space="preserve">a breakdown of </w:t>
      </w:r>
      <w:r w:rsidRPr="004C3F78">
        <w:t>the number of subject officers linked to complaints received 01/04/2014 – 31/12/2024 inclusive,</w:t>
      </w:r>
      <w:r>
        <w:t xml:space="preserve"> </w:t>
      </w:r>
      <w:r w:rsidRPr="004C3F78">
        <w:t>broken by allegation type and calendar year</w:t>
      </w:r>
      <w:r>
        <w:t xml:space="preserve"> please see table 2 </w:t>
      </w:r>
      <w:r w:rsidR="00D41F3E">
        <w:t>in appendix 1</w:t>
      </w:r>
      <w:r>
        <w:t xml:space="preserve"> at the bottom of this document. </w:t>
      </w:r>
    </w:p>
    <w:p w14:paraId="2A396FFA" w14:textId="77777777" w:rsidR="006909CA" w:rsidRPr="004C3F78" w:rsidRDefault="006909CA" w:rsidP="006909CA">
      <w:r w:rsidRPr="004C3F78">
        <w:lastRenderedPageBreak/>
        <w:t xml:space="preserve">Please again note that each complaint may involve multiple allegations, therefore the number of allegations may vary from the number of complaints. Moreover, each subject officer may be linked to multiple allegations, therefore the number of allegations may vary from the number of subject officers. </w:t>
      </w:r>
    </w:p>
    <w:p w14:paraId="52BC13FF" w14:textId="1F1E5688" w:rsidR="006909CA" w:rsidRDefault="006909CA" w:rsidP="006909CA">
      <w:r>
        <w:t>Please note that</w:t>
      </w:r>
      <w:r w:rsidRPr="004C3F78">
        <w:t xml:space="preserve"> allegations categorised as Quality of Service do not involve a subject officer, as these allegations are recorded against the organisation overall. Therefore, these </w:t>
      </w:r>
      <w:r>
        <w:t>do</w:t>
      </w:r>
      <w:r w:rsidRPr="004C3F78">
        <w:t xml:space="preserve"> not feature in the allegation breakdown below. </w:t>
      </w:r>
    </w:p>
    <w:p w14:paraId="61968A70" w14:textId="77777777" w:rsidR="000B2596" w:rsidRPr="004C3F78" w:rsidRDefault="000B2596" w:rsidP="006909CA"/>
    <w:p w14:paraId="1457EEDD" w14:textId="77777777" w:rsidR="006909CA" w:rsidRDefault="006909CA" w:rsidP="006909CA">
      <w:pPr>
        <w:pStyle w:val="Heading2"/>
      </w:pPr>
      <w:r>
        <w:t>How many of the complaints under sexual conduct, abuse of position/corruption and discriminatory behaviour in the last decade (calendar years 2014-2024) were investigated further in each category (please give exact figures), and how many were found to have a ‘case to answer’ in each of these three categories?</w:t>
      </w:r>
    </w:p>
    <w:p w14:paraId="6AE7E18A" w14:textId="4C1A0A2E" w:rsidR="0090479D" w:rsidRDefault="0090479D" w:rsidP="0090479D">
      <w:pPr>
        <w:tabs>
          <w:tab w:val="left" w:pos="5400"/>
        </w:tabs>
        <w:rPr>
          <w:rFonts w:eastAsiaTheme="majorEastAsia" w:cstheme="majorBidi"/>
          <w:bCs/>
          <w:color w:val="000000" w:themeColor="text1"/>
          <w:szCs w:val="26"/>
        </w:rPr>
      </w:pPr>
      <w:r w:rsidRPr="0090479D">
        <w:t xml:space="preserve">“Abuse of position/corruption” is not a recorded category on the Professional Standards database in relation to complaints. </w:t>
      </w:r>
      <w:r>
        <w:t xml:space="preserve">As such </w:t>
      </w: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0261D110" w14:textId="6FE8F83A" w:rsidR="0090479D" w:rsidRDefault="0090479D" w:rsidP="0090479D">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Please note that t</w:t>
      </w:r>
      <w:r w:rsidRPr="0090479D">
        <w:rPr>
          <w:rFonts w:eastAsiaTheme="majorEastAsia" w:cstheme="majorBidi"/>
          <w:bCs/>
          <w:color w:val="000000" w:themeColor="text1"/>
          <w:szCs w:val="26"/>
        </w:rPr>
        <w:t xml:space="preserve">he requested categories of “sexual” and “discriminatory behaviour” are recorded in relation to allegations attached to a complaint case, rather than a </w:t>
      </w:r>
      <w:r>
        <w:rPr>
          <w:rFonts w:eastAsiaTheme="majorEastAsia" w:cstheme="majorBidi"/>
          <w:bCs/>
          <w:color w:val="000000" w:themeColor="text1"/>
          <w:szCs w:val="26"/>
        </w:rPr>
        <w:t xml:space="preserve">standalone </w:t>
      </w:r>
      <w:r w:rsidRPr="0090479D">
        <w:rPr>
          <w:rFonts w:eastAsiaTheme="majorEastAsia" w:cstheme="majorBidi"/>
          <w:bCs/>
          <w:color w:val="000000" w:themeColor="text1"/>
          <w:szCs w:val="26"/>
        </w:rPr>
        <w:t xml:space="preserve">complaint </w:t>
      </w:r>
      <w:r>
        <w:rPr>
          <w:rFonts w:eastAsiaTheme="majorEastAsia" w:cstheme="majorBidi"/>
          <w:bCs/>
          <w:color w:val="000000" w:themeColor="text1"/>
          <w:szCs w:val="26"/>
        </w:rPr>
        <w:t>case.</w:t>
      </w:r>
    </w:p>
    <w:p w14:paraId="2C23DED0" w14:textId="0E59E958" w:rsidR="001409DE" w:rsidRDefault="001409DE" w:rsidP="001409DE">
      <w:r>
        <w:t xml:space="preserve">For </w:t>
      </w:r>
      <w:r w:rsidR="00515D0D">
        <w:t xml:space="preserve">the number of allegations involving </w:t>
      </w:r>
      <w:r w:rsidRPr="001409DE">
        <w:rPr>
          <w:i/>
          <w:iCs/>
        </w:rPr>
        <w:t>Discriminatory Behaviour allegations</w:t>
      </w:r>
      <w:r>
        <w:rPr>
          <w:i/>
          <w:iCs/>
        </w:rPr>
        <w:t xml:space="preserve"> and </w:t>
      </w:r>
      <w:r w:rsidRPr="001409DE">
        <w:rPr>
          <w:i/>
          <w:iCs/>
        </w:rPr>
        <w:t xml:space="preserve">sexual circumstances </w:t>
      </w:r>
      <w:r w:rsidRPr="001409DE">
        <w:t>attached to complaints received 01/04/2014 – 31/12/2024 inclusive, by allegation result and calendar year</w:t>
      </w:r>
      <w:r>
        <w:t xml:space="preserve"> please see table 3 and 4 in appendix 2 below.</w:t>
      </w:r>
    </w:p>
    <w:p w14:paraId="1F94BC33" w14:textId="1E931F2C" w:rsidR="001409DE" w:rsidRPr="008E4DEE" w:rsidRDefault="008E4DEE" w:rsidP="001409DE">
      <w:pPr>
        <w:rPr>
          <w:color w:val="156082"/>
        </w:rPr>
      </w:pPr>
      <w:r w:rsidRPr="008E4DEE">
        <w:t xml:space="preserve">Please note that allegations received may remain subject to live enquiry and/or legal proceedings, therefore may not yet be concluded. </w:t>
      </w:r>
    </w:p>
    <w:p w14:paraId="0C7343DE" w14:textId="77777777" w:rsidR="006909CA" w:rsidRDefault="006909CA" w:rsidP="006909CA">
      <w:pPr>
        <w:pStyle w:val="Heading2"/>
      </w:pPr>
      <w:r>
        <w:t>The number of officers who have undergone or are undergoing additional training in relation to the complaint(s) made in the last decade (calendar years 2014-2024).</w:t>
      </w:r>
    </w:p>
    <w:p w14:paraId="319E6292" w14:textId="20790946" w:rsidR="00E623BD" w:rsidRPr="00E623BD" w:rsidRDefault="00E623BD" w:rsidP="00E623BD">
      <w:pPr>
        <w:pStyle w:val="Heading2"/>
      </w:pPr>
      <w:r>
        <w:t>The number of officers no longer in post following an investigation from a public complaint in the last decade (calendar years 2014-2024).</w:t>
      </w:r>
    </w:p>
    <w:p w14:paraId="35B79D1D" w14:textId="5B31B0CC" w:rsidR="00E623BD" w:rsidRDefault="00E623BD" w:rsidP="008E4DEE">
      <w:r>
        <w:t xml:space="preserve">The </w:t>
      </w:r>
      <w:r w:rsidR="008E4DEE">
        <w:t xml:space="preserve">information </w:t>
      </w:r>
      <w:r>
        <w:t xml:space="preserve">requested in your last 2 points </w:t>
      </w:r>
      <w:r w:rsidR="008E4DEE">
        <w:t>is not routinely recorded</w:t>
      </w:r>
      <w:r w:rsidR="008E4DEE" w:rsidRPr="008E4DEE">
        <w:t> </w:t>
      </w:r>
      <w:r w:rsidR="00E61A0C">
        <w:t>within the national Professional Standards database</w:t>
      </w:r>
      <w:r>
        <w:t xml:space="preserve">. All relevant information will be recorded within each officers training and personnel records. The only way to collate this data in an accurate </w:t>
      </w:r>
      <w:r>
        <w:lastRenderedPageBreak/>
        <w:t xml:space="preserve">and concise manner would be to manually search each officers records and assess for relevance. </w:t>
      </w:r>
    </w:p>
    <w:p w14:paraId="3B7AF461" w14:textId="015CECBC" w:rsidR="00E623BD" w:rsidRDefault="00E623BD" w:rsidP="00E623BD">
      <w:r>
        <w:t xml:space="preserve">These are clearly exercises that would exceed the 40hours out lined within the Act. As such, </w:t>
      </w:r>
      <w:r w:rsidRPr="00453F0A">
        <w:t>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29411FB3" w14:textId="77777777" w:rsidR="000B2596" w:rsidRDefault="000B2596" w:rsidP="00793DD5">
      <w:pPr>
        <w:sectPr w:rsidR="000B2596"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pPr>
    </w:p>
    <w:p w14:paraId="7DCFC6D2" w14:textId="77777777" w:rsidR="000B2596" w:rsidRDefault="000B2596" w:rsidP="00793DD5"/>
    <w:p w14:paraId="0BEF4916" w14:textId="107FB1A1" w:rsidR="000B2596" w:rsidRPr="001409DE" w:rsidRDefault="001409DE" w:rsidP="00793DD5">
      <w:pPr>
        <w:rPr>
          <w:b/>
          <w:bCs/>
          <w:u w:val="single"/>
        </w:rPr>
      </w:pPr>
      <w:r w:rsidRPr="001409DE">
        <w:rPr>
          <w:b/>
          <w:bCs/>
          <w:u w:val="single"/>
        </w:rPr>
        <w:t>Appendix 1</w:t>
      </w:r>
    </w:p>
    <w:p w14:paraId="50F205B8" w14:textId="77777777" w:rsidR="000B2596" w:rsidRDefault="000B2596" w:rsidP="00793DD5"/>
    <w:p w14:paraId="70362D00" w14:textId="05B9E870" w:rsidR="000B2596" w:rsidRDefault="000B2596" w:rsidP="00793DD5">
      <w:r w:rsidRPr="000B2596">
        <w:t>Table 2</w:t>
      </w:r>
      <w:r>
        <w:t xml:space="preserve"> details the breakdown of </w:t>
      </w:r>
      <w:r w:rsidRPr="004C3F78">
        <w:t>the number of subject officers linked to complaints received 01/04/2014 – 31/12/2024 inclusive,</w:t>
      </w:r>
      <w:r>
        <w:t xml:space="preserve"> </w:t>
      </w:r>
      <w:r w:rsidRPr="004C3F78">
        <w:t>broken by allegation type and calendar year</w:t>
      </w:r>
      <w:r>
        <w:t xml:space="preserve"> for on duty police officers.</w:t>
      </w:r>
    </w:p>
    <w:p w14:paraId="6EB44CE5" w14:textId="01840F33" w:rsidR="000B2596" w:rsidRPr="000B2596" w:rsidRDefault="000B2596" w:rsidP="00793DD5">
      <w:pPr>
        <w:rPr>
          <w:u w:val="single"/>
        </w:rPr>
      </w:pPr>
      <w:r w:rsidRPr="000B2596">
        <w:rPr>
          <w:u w:val="single"/>
        </w:rPr>
        <w:t>Table 2</w:t>
      </w:r>
    </w:p>
    <w:tbl>
      <w:tblPr>
        <w:tblW w:w="0" w:type="auto"/>
        <w:tblCellMar>
          <w:left w:w="0" w:type="dxa"/>
          <w:right w:w="0" w:type="dxa"/>
        </w:tblCellMar>
        <w:tblLook w:val="04A0" w:firstRow="1" w:lastRow="0" w:firstColumn="1" w:lastColumn="0" w:noHBand="0" w:noVBand="1"/>
      </w:tblPr>
      <w:tblGrid>
        <w:gridCol w:w="4685"/>
        <w:gridCol w:w="817"/>
        <w:gridCol w:w="817"/>
        <w:gridCol w:w="817"/>
        <w:gridCol w:w="817"/>
        <w:gridCol w:w="817"/>
        <w:gridCol w:w="817"/>
        <w:gridCol w:w="817"/>
        <w:gridCol w:w="817"/>
        <w:gridCol w:w="817"/>
        <w:gridCol w:w="817"/>
        <w:gridCol w:w="817"/>
      </w:tblGrid>
      <w:tr w:rsidR="000B2596" w14:paraId="37B93009" w14:textId="77777777" w:rsidTr="000B2596">
        <w:trPr>
          <w:trHeight w:val="315"/>
        </w:trPr>
        <w:tc>
          <w:tcPr>
            <w:tcW w:w="0" w:type="auto"/>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3200871A" w14:textId="05A31A43" w:rsidR="000B2596" w:rsidRDefault="000B2596" w:rsidP="000B2596">
            <w:r>
              <w:t>Allegation category and allegation type</w:t>
            </w:r>
          </w:p>
        </w:tc>
        <w:tc>
          <w:tcPr>
            <w:tcW w:w="0" w:type="auto"/>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594BB8CA" w14:textId="467D8EF7" w:rsidR="000B2596" w:rsidRDefault="000B2596" w:rsidP="000B2596">
            <w:r>
              <w:t>2014</w:t>
            </w:r>
          </w:p>
        </w:tc>
        <w:tc>
          <w:tcPr>
            <w:tcW w:w="0" w:type="auto"/>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48FCF264" w14:textId="4BB93883" w:rsidR="000B2596" w:rsidRDefault="000B2596" w:rsidP="000B2596">
            <w:r>
              <w:t>2015</w:t>
            </w:r>
          </w:p>
        </w:tc>
        <w:tc>
          <w:tcPr>
            <w:tcW w:w="0" w:type="auto"/>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2AEBAFC2" w14:textId="5BF31C5E" w:rsidR="000B2596" w:rsidRDefault="000B2596" w:rsidP="000B2596">
            <w:r>
              <w:t>2016</w:t>
            </w:r>
          </w:p>
        </w:tc>
        <w:tc>
          <w:tcPr>
            <w:tcW w:w="0" w:type="auto"/>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2EC27F9E" w14:textId="5F40E5D8" w:rsidR="000B2596" w:rsidRDefault="000B2596" w:rsidP="000B2596">
            <w:r>
              <w:t>2017</w:t>
            </w:r>
          </w:p>
        </w:tc>
        <w:tc>
          <w:tcPr>
            <w:tcW w:w="0" w:type="auto"/>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76A69794" w14:textId="56F5D9B3" w:rsidR="000B2596" w:rsidRDefault="000B2596" w:rsidP="000B2596">
            <w:r>
              <w:t>2018</w:t>
            </w:r>
          </w:p>
        </w:tc>
        <w:tc>
          <w:tcPr>
            <w:tcW w:w="0" w:type="auto"/>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7011F808" w14:textId="7AEDE738" w:rsidR="000B2596" w:rsidRDefault="000B2596" w:rsidP="000B2596">
            <w:r>
              <w:t>2019</w:t>
            </w:r>
          </w:p>
        </w:tc>
        <w:tc>
          <w:tcPr>
            <w:tcW w:w="0" w:type="auto"/>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7C654111" w14:textId="05B54571" w:rsidR="000B2596" w:rsidRDefault="000B2596" w:rsidP="000B2596">
            <w:r>
              <w:t>2020</w:t>
            </w:r>
          </w:p>
        </w:tc>
        <w:tc>
          <w:tcPr>
            <w:tcW w:w="0" w:type="auto"/>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537E143F" w14:textId="73D24474" w:rsidR="000B2596" w:rsidRDefault="000B2596" w:rsidP="000B2596">
            <w:r>
              <w:t>2021</w:t>
            </w:r>
          </w:p>
        </w:tc>
        <w:tc>
          <w:tcPr>
            <w:tcW w:w="0" w:type="auto"/>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26DBA475" w14:textId="7F518AB9" w:rsidR="000B2596" w:rsidRDefault="000B2596" w:rsidP="000B2596">
            <w:r>
              <w:t>2022</w:t>
            </w:r>
          </w:p>
        </w:tc>
        <w:tc>
          <w:tcPr>
            <w:tcW w:w="0" w:type="auto"/>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5340E1BD" w14:textId="0E6EA282" w:rsidR="000B2596" w:rsidRDefault="000B2596" w:rsidP="000B2596">
            <w:r>
              <w:t>2023</w:t>
            </w:r>
          </w:p>
        </w:tc>
        <w:tc>
          <w:tcPr>
            <w:tcW w:w="0" w:type="auto"/>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7B20E334" w14:textId="3784AAC4" w:rsidR="000B2596" w:rsidRDefault="000B2596" w:rsidP="000B2596">
            <w:r>
              <w:t>2024</w:t>
            </w:r>
          </w:p>
        </w:tc>
      </w:tr>
      <w:tr w:rsidR="000B2596" w14:paraId="25606A01" w14:textId="77777777" w:rsidTr="000B2596">
        <w:trPr>
          <w:trHeight w:val="31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BAA26A0" w14:textId="77777777" w:rsidR="000B2596" w:rsidRDefault="000B2596" w:rsidP="000B2596">
            <w:r>
              <w:t>Assault</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998C8B3" w14:textId="77777777" w:rsidR="000B2596" w:rsidRDefault="000B2596" w:rsidP="000B2596">
            <w:r>
              <w:t>252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5586F8A" w14:textId="77777777" w:rsidR="000B2596" w:rsidRDefault="000B2596" w:rsidP="000B2596">
            <w:r>
              <w:t>294</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CBBEC5B" w14:textId="77777777" w:rsidR="000B2596" w:rsidRDefault="000B2596" w:rsidP="000B2596">
            <w:r>
              <w:t>202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0673634" w14:textId="77777777" w:rsidR="000B2596" w:rsidRDefault="000B2596" w:rsidP="000B2596">
            <w:r>
              <w:t>125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29725E3" w14:textId="77777777" w:rsidR="000B2596" w:rsidRDefault="000B2596" w:rsidP="000B2596">
            <w:r>
              <w:t>138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B952365" w14:textId="77777777" w:rsidR="000B2596" w:rsidRDefault="000B2596" w:rsidP="000B2596">
            <w:r>
              <w:t>303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37BC0CC" w14:textId="77777777" w:rsidR="000B2596" w:rsidRDefault="000B2596" w:rsidP="000B2596">
            <w:r>
              <w:t>346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DA01A44" w14:textId="77777777" w:rsidR="000B2596" w:rsidRDefault="000B2596" w:rsidP="000B2596">
            <w:r>
              <w:t>393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21C7978" w14:textId="77777777" w:rsidR="000B2596" w:rsidRDefault="000B2596" w:rsidP="000B2596">
            <w:r>
              <w:t>414</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96CD778" w14:textId="77777777" w:rsidR="000B2596" w:rsidRDefault="000B2596" w:rsidP="000B2596">
            <w:r>
              <w:t>433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F92FF7E" w14:textId="77777777" w:rsidR="000B2596" w:rsidRDefault="000B2596" w:rsidP="000B2596">
            <w:r>
              <w:t>339</w:t>
            </w:r>
          </w:p>
        </w:tc>
      </w:tr>
      <w:tr w:rsidR="000B2596" w14:paraId="4EDEAF71" w14:textId="77777777" w:rsidTr="000B2596">
        <w:trPr>
          <w:trHeight w:val="31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ECF6B0C" w14:textId="77777777" w:rsidR="000B2596" w:rsidRDefault="000B2596" w:rsidP="000B2596">
            <w:r>
              <w:t>Corrupt Practice</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64A9E85" w14:textId="77777777" w:rsidR="000B2596" w:rsidRDefault="000B2596" w:rsidP="000B2596">
            <w:r>
              <w:t>22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7B05B90" w14:textId="77777777" w:rsidR="000B2596" w:rsidRDefault="000B2596" w:rsidP="000B2596">
            <w:r>
              <w:t>21</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3B577E8" w14:textId="77777777" w:rsidR="000B2596" w:rsidRDefault="000B2596" w:rsidP="000B2596">
            <w:r>
              <w:t>26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3C5DBE4" w14:textId="77777777" w:rsidR="000B2596" w:rsidRDefault="000B2596" w:rsidP="000B2596">
            <w:r>
              <w:t>24</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891A725" w14:textId="77777777" w:rsidR="000B2596" w:rsidRDefault="000B2596" w:rsidP="000B2596">
            <w:r>
              <w:t>20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6C6372B" w14:textId="77777777" w:rsidR="000B2596" w:rsidRDefault="000B2596" w:rsidP="000B2596">
            <w:r>
              <w:t>40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D3F48B5" w14:textId="77777777" w:rsidR="000B2596" w:rsidRDefault="000B2596" w:rsidP="000B2596">
            <w:r>
              <w:t>27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FD52AA9" w14:textId="77777777" w:rsidR="000B2596" w:rsidRDefault="000B2596" w:rsidP="000B2596">
            <w:r>
              <w:t>19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FD2663F" w14:textId="77777777" w:rsidR="000B2596" w:rsidRDefault="000B2596" w:rsidP="000B2596">
            <w:r>
              <w:t>16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5A931FC" w14:textId="77777777" w:rsidR="000B2596" w:rsidRDefault="000B2596" w:rsidP="000B2596">
            <w:r>
              <w:t>20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6EF8C1B" w14:textId="77777777" w:rsidR="000B2596" w:rsidRDefault="000B2596" w:rsidP="000B2596">
            <w:r>
              <w:t>14</w:t>
            </w:r>
          </w:p>
        </w:tc>
      </w:tr>
      <w:tr w:rsidR="000B2596" w14:paraId="484FC860" w14:textId="77777777" w:rsidTr="000B2596">
        <w:trPr>
          <w:trHeight w:val="31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4FFD4E67" w14:textId="77777777" w:rsidR="000B2596" w:rsidRDefault="000B2596" w:rsidP="000B2596">
            <w:r>
              <w:t>Discriminatory Behaviour</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43B5A2C7" w14:textId="77777777" w:rsidR="000B2596" w:rsidRDefault="000B2596" w:rsidP="000B2596">
            <w:r>
              <w:t>60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A329292" w14:textId="77777777" w:rsidR="000B2596" w:rsidRDefault="000B2596" w:rsidP="000B2596">
            <w:r>
              <w:t>80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12DC28D" w14:textId="77777777" w:rsidR="000B2596" w:rsidRDefault="000B2596" w:rsidP="000B2596">
            <w:r>
              <w:t>72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38DA16C" w14:textId="77777777" w:rsidR="000B2596" w:rsidRDefault="000B2596" w:rsidP="000B2596">
            <w:r>
              <w:t>55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B766BFF" w14:textId="77777777" w:rsidR="000B2596" w:rsidRDefault="000B2596" w:rsidP="000B2596">
            <w:r>
              <w:t>48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91A0595" w14:textId="77777777" w:rsidR="000B2596" w:rsidRDefault="000B2596" w:rsidP="000B2596">
            <w:r>
              <w:t>78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654E6FE" w14:textId="77777777" w:rsidR="000B2596" w:rsidRDefault="000B2596" w:rsidP="000B2596">
            <w:r>
              <w:t>95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22E6B26" w14:textId="77777777" w:rsidR="000B2596" w:rsidRDefault="000B2596" w:rsidP="000B2596">
            <w:r>
              <w:t>103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9D17894" w14:textId="77777777" w:rsidR="000B2596" w:rsidRDefault="000B2596" w:rsidP="000B2596">
            <w:r>
              <w:t>90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40BB5A1" w14:textId="77777777" w:rsidR="000B2596" w:rsidRDefault="000B2596" w:rsidP="000B2596">
            <w:r>
              <w:t>113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043E90A" w14:textId="77777777" w:rsidR="000B2596" w:rsidRDefault="000B2596" w:rsidP="000B2596">
            <w:r>
              <w:t>106</w:t>
            </w:r>
          </w:p>
        </w:tc>
      </w:tr>
      <w:tr w:rsidR="000B2596" w14:paraId="69B8A92C" w14:textId="77777777" w:rsidTr="000B2596">
        <w:trPr>
          <w:trHeight w:val="31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7C6D701" w14:textId="77777777" w:rsidR="000B2596" w:rsidRDefault="000B2596" w:rsidP="000B2596">
            <w:r>
              <w:t>Excessive Force</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2331834" w14:textId="77777777" w:rsidR="000B2596" w:rsidRDefault="000B2596" w:rsidP="000B2596">
            <w:r>
              <w:t>322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D3470BC" w14:textId="77777777" w:rsidR="000B2596" w:rsidRDefault="000B2596" w:rsidP="000B2596">
            <w:r>
              <w:t>469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FD5C113" w14:textId="77777777" w:rsidR="000B2596" w:rsidRDefault="000B2596" w:rsidP="000B2596">
            <w:r>
              <w:t>474</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65CDB82" w14:textId="77777777" w:rsidR="000B2596" w:rsidRDefault="000B2596" w:rsidP="000B2596">
            <w:r>
              <w:t>443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35DC964" w14:textId="77777777" w:rsidR="000B2596" w:rsidRDefault="000B2596" w:rsidP="000B2596">
            <w:r>
              <w:t>475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003DFE4" w14:textId="77777777" w:rsidR="000B2596" w:rsidRDefault="000B2596" w:rsidP="000B2596">
            <w:r>
              <w:t>397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FB0EA26" w14:textId="77777777" w:rsidR="000B2596" w:rsidRDefault="000B2596" w:rsidP="000B2596">
            <w:r>
              <w:t>401</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1136FBF" w14:textId="77777777" w:rsidR="000B2596" w:rsidRDefault="000B2596" w:rsidP="000B2596">
            <w:r>
              <w:t>495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41B2D837" w14:textId="77777777" w:rsidR="000B2596" w:rsidRDefault="000B2596" w:rsidP="000B2596">
            <w:r>
              <w:t>379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51D8A0E" w14:textId="77777777" w:rsidR="000B2596" w:rsidRDefault="000B2596" w:rsidP="000B2596">
            <w:r>
              <w:t>317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945E6EB" w14:textId="77777777" w:rsidR="000B2596" w:rsidRDefault="000B2596" w:rsidP="000B2596">
            <w:r>
              <w:t>387</w:t>
            </w:r>
          </w:p>
        </w:tc>
      </w:tr>
      <w:tr w:rsidR="000B2596" w14:paraId="471C100C" w14:textId="77777777" w:rsidTr="000B2596">
        <w:trPr>
          <w:trHeight w:val="31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C3EFB16" w14:textId="77777777" w:rsidR="000B2596" w:rsidRDefault="000B2596" w:rsidP="000B2596">
            <w:r>
              <w:t>Incivility</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47336FBB" w14:textId="77777777" w:rsidR="000B2596" w:rsidRDefault="000B2596" w:rsidP="000B2596">
            <w:r>
              <w:t>848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B5232C6" w14:textId="77777777" w:rsidR="000B2596" w:rsidRDefault="000B2596" w:rsidP="000B2596">
            <w:r>
              <w:t>1,377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B72A79A" w14:textId="77777777" w:rsidR="000B2596" w:rsidRDefault="000B2596" w:rsidP="000B2596">
            <w:r>
              <w:t>1,266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8949856" w14:textId="77777777" w:rsidR="000B2596" w:rsidRDefault="000B2596" w:rsidP="000B2596">
            <w:r>
              <w:t>1,229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7A4E978" w14:textId="77777777" w:rsidR="000B2596" w:rsidRDefault="000B2596" w:rsidP="000B2596">
            <w:r>
              <w:t>1,204</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4C9D6C59" w14:textId="77777777" w:rsidR="000B2596" w:rsidRDefault="000B2596" w:rsidP="000B2596">
            <w:r>
              <w:t>1,248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4E525E4F" w14:textId="77777777" w:rsidR="000B2596" w:rsidRDefault="000B2596" w:rsidP="000B2596">
            <w:r>
              <w:t>1,458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48F8DD95" w14:textId="77777777" w:rsidR="000B2596" w:rsidRDefault="000B2596" w:rsidP="000B2596">
            <w:r>
              <w:t>1,525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E5971A7" w14:textId="77777777" w:rsidR="000B2596" w:rsidRDefault="000B2596" w:rsidP="000B2596">
            <w:r>
              <w:t>1,303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869C2F3" w14:textId="77777777" w:rsidR="000B2596" w:rsidRDefault="000B2596" w:rsidP="000B2596">
            <w:r>
              <w:t>1,256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C68AF5B" w14:textId="77777777" w:rsidR="000B2596" w:rsidRDefault="000B2596" w:rsidP="000B2596">
            <w:r>
              <w:t>1,271</w:t>
            </w:r>
          </w:p>
        </w:tc>
      </w:tr>
      <w:tr w:rsidR="000B2596" w14:paraId="1B0229E8" w14:textId="77777777" w:rsidTr="000B2596">
        <w:trPr>
          <w:trHeight w:val="31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AA07BF8" w14:textId="77777777" w:rsidR="000B2596" w:rsidRDefault="000B2596" w:rsidP="000B2596">
            <w:r>
              <w:t>Irregularity in Procedure</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9C0AA3E" w14:textId="77777777" w:rsidR="000B2596" w:rsidRDefault="000B2596" w:rsidP="000B2596">
            <w:r>
              <w:t>2,120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F4FDB80" w14:textId="77777777" w:rsidR="000B2596" w:rsidRDefault="000B2596" w:rsidP="000B2596">
            <w:r>
              <w:t>3,720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5A48237" w14:textId="77777777" w:rsidR="000B2596" w:rsidRDefault="000B2596" w:rsidP="000B2596">
            <w:r>
              <w:t>3,628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3241AC0" w14:textId="77777777" w:rsidR="000B2596" w:rsidRDefault="000B2596" w:rsidP="000B2596">
            <w:r>
              <w:t>3,315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B22F603" w14:textId="77777777" w:rsidR="000B2596" w:rsidRDefault="000B2596" w:rsidP="000B2596">
            <w:r>
              <w:t>3,380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744CF1F" w14:textId="77777777" w:rsidR="000B2596" w:rsidRDefault="000B2596" w:rsidP="000B2596">
            <w:r>
              <w:t>3,657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5CA9FD1" w14:textId="77777777" w:rsidR="000B2596" w:rsidRDefault="000B2596" w:rsidP="000B2596">
            <w:r>
              <w:t>3,699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96200AD" w14:textId="77777777" w:rsidR="000B2596" w:rsidRDefault="000B2596" w:rsidP="000B2596">
            <w:r>
              <w:t>3,783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FC0A7F8" w14:textId="77777777" w:rsidR="000B2596" w:rsidRDefault="000B2596" w:rsidP="000B2596">
            <w:r>
              <w:t>2,814</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CF894A3" w14:textId="77777777" w:rsidR="000B2596" w:rsidRDefault="000B2596" w:rsidP="000B2596">
            <w:r>
              <w:t>3,086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76AE5E4" w14:textId="77777777" w:rsidR="000B2596" w:rsidRDefault="000B2596" w:rsidP="000B2596">
            <w:r>
              <w:t>3,212</w:t>
            </w:r>
          </w:p>
        </w:tc>
      </w:tr>
      <w:tr w:rsidR="000B2596" w14:paraId="1F54224C" w14:textId="77777777" w:rsidTr="000B2596">
        <w:trPr>
          <w:trHeight w:val="31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D0E6719" w14:textId="77777777" w:rsidR="000B2596" w:rsidRDefault="000B2596" w:rsidP="000B2596">
            <w:r>
              <w:t>Neglect of Duty</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C95FE4D" w14:textId="77777777" w:rsidR="000B2596" w:rsidRDefault="000B2596" w:rsidP="000B2596">
            <w:r>
              <w:t>336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149B01B" w14:textId="77777777" w:rsidR="000B2596" w:rsidRDefault="000B2596" w:rsidP="000B2596">
            <w:r>
              <w:t>226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2F5D773" w14:textId="77777777" w:rsidR="000B2596" w:rsidRDefault="000B2596" w:rsidP="000B2596">
            <w:r>
              <w:t>130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C570FDF" w14:textId="77777777" w:rsidR="000B2596" w:rsidRDefault="000B2596" w:rsidP="000B2596">
            <w:r>
              <w:t>102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308C796" w14:textId="77777777" w:rsidR="000B2596" w:rsidRDefault="000B2596" w:rsidP="000B2596">
            <w:r>
              <w:t>109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2DD9CC8" w14:textId="77777777" w:rsidR="000B2596" w:rsidRDefault="000B2596" w:rsidP="000B2596">
            <w:r>
              <w:t>98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AD495F3" w14:textId="77777777" w:rsidR="000B2596" w:rsidRDefault="000B2596" w:rsidP="000B2596">
            <w:r>
              <w:t>75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8895755" w14:textId="77777777" w:rsidR="000B2596" w:rsidRDefault="000B2596" w:rsidP="000B2596">
            <w:r>
              <w:t>115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7E8195E" w14:textId="77777777" w:rsidR="000B2596" w:rsidRDefault="000B2596" w:rsidP="000B2596">
            <w:r>
              <w:t>52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E21FB8C" w14:textId="77777777" w:rsidR="000B2596" w:rsidRDefault="000B2596" w:rsidP="000B2596">
            <w:r>
              <w:t>53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8BBFFE1" w14:textId="77777777" w:rsidR="000B2596" w:rsidRDefault="000B2596" w:rsidP="000B2596">
            <w:r>
              <w:t>64</w:t>
            </w:r>
          </w:p>
        </w:tc>
      </w:tr>
      <w:tr w:rsidR="000B2596" w14:paraId="48F389E6" w14:textId="77777777" w:rsidTr="000B2596">
        <w:trPr>
          <w:trHeight w:val="31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9B482FD" w14:textId="77777777" w:rsidR="000B2596" w:rsidRDefault="000B2596" w:rsidP="000B2596">
            <w:r>
              <w:t>Oppressive Conduct/Harassment</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D122BC2" w14:textId="77777777" w:rsidR="000B2596" w:rsidRDefault="000B2596" w:rsidP="000B2596">
            <w:r>
              <w:t>276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D257117" w14:textId="77777777" w:rsidR="000B2596" w:rsidRDefault="000B2596" w:rsidP="000B2596">
            <w:r>
              <w:t>318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070615E" w14:textId="77777777" w:rsidR="000B2596" w:rsidRDefault="000B2596" w:rsidP="000B2596">
            <w:r>
              <w:t>263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253F6BD" w14:textId="77777777" w:rsidR="000B2596" w:rsidRDefault="000B2596" w:rsidP="000B2596">
            <w:r>
              <w:t>199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A2D9538" w14:textId="77777777" w:rsidR="000B2596" w:rsidRDefault="000B2596" w:rsidP="000B2596">
            <w:r>
              <w:t>236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1C23B37" w14:textId="77777777" w:rsidR="000B2596" w:rsidRDefault="000B2596" w:rsidP="000B2596">
            <w:r>
              <w:t>231</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3669DD2" w14:textId="77777777" w:rsidR="000B2596" w:rsidRDefault="000B2596" w:rsidP="000B2596">
            <w:r>
              <w:t>239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42C17042" w14:textId="77777777" w:rsidR="000B2596" w:rsidRDefault="000B2596" w:rsidP="000B2596">
            <w:r>
              <w:t>292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1FC6E45" w14:textId="77777777" w:rsidR="000B2596" w:rsidRDefault="000B2596" w:rsidP="000B2596">
            <w:r>
              <w:t>178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C1EFBD3" w14:textId="77777777" w:rsidR="000B2596" w:rsidRDefault="000B2596" w:rsidP="000B2596">
            <w:r>
              <w:t>174</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BAF8E50" w14:textId="77777777" w:rsidR="000B2596" w:rsidRDefault="000B2596" w:rsidP="000B2596">
            <w:r>
              <w:t>166</w:t>
            </w:r>
          </w:p>
        </w:tc>
      </w:tr>
      <w:tr w:rsidR="000B2596" w14:paraId="57CE58E7" w14:textId="77777777" w:rsidTr="000B2596">
        <w:trPr>
          <w:trHeight w:val="31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41FE19B1" w14:textId="77777777" w:rsidR="000B2596" w:rsidRDefault="000B2596" w:rsidP="000B2596">
            <w:r>
              <w:lastRenderedPageBreak/>
              <w:t>Other - Criminal</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4C2C6CAC" w14:textId="77777777" w:rsidR="000B2596" w:rsidRDefault="000B2596" w:rsidP="000B2596">
            <w:r>
              <w:t>152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F51E65D" w14:textId="77777777" w:rsidR="000B2596" w:rsidRDefault="000B2596" w:rsidP="000B2596">
            <w:r>
              <w:t>188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3FF5C7E" w14:textId="77777777" w:rsidR="000B2596" w:rsidRDefault="000B2596" w:rsidP="000B2596">
            <w:r>
              <w:t>157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68C3E64" w14:textId="77777777" w:rsidR="000B2596" w:rsidRDefault="000B2596" w:rsidP="000B2596">
            <w:r>
              <w:t>76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D425C64" w14:textId="77777777" w:rsidR="000B2596" w:rsidRDefault="000B2596" w:rsidP="000B2596">
            <w:r>
              <w:t>75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5DF4EE7" w14:textId="77777777" w:rsidR="000B2596" w:rsidRDefault="000B2596" w:rsidP="000B2596">
            <w:r>
              <w:t>100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2E2E74E" w14:textId="77777777" w:rsidR="000B2596" w:rsidRDefault="000B2596" w:rsidP="000B2596">
            <w:r>
              <w:t>96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5D0910D" w14:textId="77777777" w:rsidR="000B2596" w:rsidRDefault="000B2596" w:rsidP="000B2596">
            <w:r>
              <w:t>95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D5960FD" w14:textId="77777777" w:rsidR="000B2596" w:rsidRDefault="000B2596" w:rsidP="000B2596">
            <w:r>
              <w:t>95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8EA8567" w14:textId="77777777" w:rsidR="000B2596" w:rsidRDefault="000B2596" w:rsidP="000B2596">
            <w:r>
              <w:t>76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80CA2CD" w14:textId="77777777" w:rsidR="000B2596" w:rsidRDefault="000B2596" w:rsidP="000B2596">
            <w:r>
              <w:t>55</w:t>
            </w:r>
          </w:p>
        </w:tc>
      </w:tr>
      <w:tr w:rsidR="000B2596" w14:paraId="392A769B" w14:textId="77777777" w:rsidTr="000B2596">
        <w:trPr>
          <w:trHeight w:val="31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2358C3B" w14:textId="7B749D7C" w:rsidR="000B2596" w:rsidRDefault="000B2596" w:rsidP="000B2596">
            <w:r>
              <w:t>Other - non-criminal</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B518600" w14:textId="77777777" w:rsidR="000B2596" w:rsidRDefault="000B2596" w:rsidP="000B2596">
            <w:r>
              <w:t>159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18EB4A6" w14:textId="77777777" w:rsidR="000B2596" w:rsidRDefault="000B2596" w:rsidP="000B2596">
            <w:r>
              <w:t>207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AB50784" w14:textId="77777777" w:rsidR="000B2596" w:rsidRDefault="000B2596" w:rsidP="000B2596">
            <w:r>
              <w:t>176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DEE2A2B" w14:textId="77777777" w:rsidR="000B2596" w:rsidRDefault="000B2596" w:rsidP="000B2596">
            <w:r>
              <w:t>207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4D4A968" w14:textId="77777777" w:rsidR="000B2596" w:rsidRDefault="000B2596" w:rsidP="000B2596">
            <w:r>
              <w:t>219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4D73E94D" w14:textId="77777777" w:rsidR="000B2596" w:rsidRDefault="000B2596" w:rsidP="000B2596">
            <w:r>
              <w:t>127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2CA05BD" w14:textId="77777777" w:rsidR="000B2596" w:rsidRDefault="000B2596" w:rsidP="000B2596">
            <w:r>
              <w:t>263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4B4B0A89" w14:textId="77777777" w:rsidR="000B2596" w:rsidRDefault="000B2596" w:rsidP="000B2596">
            <w:r>
              <w:t>154</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8E012BF" w14:textId="77777777" w:rsidR="000B2596" w:rsidRDefault="000B2596" w:rsidP="000B2596">
            <w:r>
              <w:t>89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73BEF38" w14:textId="77777777" w:rsidR="000B2596" w:rsidRDefault="000B2596" w:rsidP="000B2596">
            <w:r>
              <w:t>80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1551C47" w14:textId="77777777" w:rsidR="000B2596" w:rsidRDefault="000B2596" w:rsidP="000B2596">
            <w:r>
              <w:t>59</w:t>
            </w:r>
          </w:p>
        </w:tc>
      </w:tr>
      <w:tr w:rsidR="000B2596" w14:paraId="44296B7D" w14:textId="77777777" w:rsidTr="000B2596">
        <w:trPr>
          <w:trHeight w:val="31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D14F599" w14:textId="77777777" w:rsidR="000B2596" w:rsidRDefault="000B2596" w:rsidP="000B2596">
            <w:r>
              <w:t>Traffic Irregularity/Offence</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81EB2FF" w14:textId="77777777" w:rsidR="000B2596" w:rsidRDefault="000B2596" w:rsidP="000B2596">
            <w:r>
              <w:t>108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CC58DE4" w14:textId="77777777" w:rsidR="000B2596" w:rsidRDefault="000B2596" w:rsidP="000B2596">
            <w:r>
              <w:t>138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1E158F0" w14:textId="77777777" w:rsidR="000B2596" w:rsidRDefault="000B2596" w:rsidP="000B2596">
            <w:r>
              <w:t>121</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D1DEBCA" w14:textId="77777777" w:rsidR="000B2596" w:rsidRDefault="000B2596" w:rsidP="000B2596">
            <w:r>
              <w:t>77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FEBA749" w14:textId="77777777" w:rsidR="000B2596" w:rsidRDefault="000B2596" w:rsidP="000B2596">
            <w:r>
              <w:t>61</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E7D5B94" w14:textId="77777777" w:rsidR="000B2596" w:rsidRDefault="000B2596" w:rsidP="000B2596">
            <w:r>
              <w:t>61</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A2F4895" w14:textId="77777777" w:rsidR="000B2596" w:rsidRDefault="000B2596" w:rsidP="000B2596">
            <w:r>
              <w:t>58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30053DE" w14:textId="77777777" w:rsidR="000B2596" w:rsidRDefault="000B2596" w:rsidP="000B2596">
            <w:r>
              <w:t>55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E9E6062" w14:textId="77777777" w:rsidR="000B2596" w:rsidRDefault="000B2596" w:rsidP="000B2596">
            <w:r>
              <w:t>62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4CE48FCE" w14:textId="77777777" w:rsidR="000B2596" w:rsidRDefault="000B2596" w:rsidP="000B2596">
            <w:r>
              <w:t>53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76DA394" w14:textId="77777777" w:rsidR="000B2596" w:rsidRDefault="000B2596" w:rsidP="000B2596">
            <w:r>
              <w:t>63</w:t>
            </w:r>
          </w:p>
        </w:tc>
      </w:tr>
      <w:tr w:rsidR="000B2596" w14:paraId="5F91CE52" w14:textId="77777777" w:rsidTr="000B2596">
        <w:trPr>
          <w:trHeight w:val="31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40D64AB" w14:textId="77777777" w:rsidR="000B2596" w:rsidRDefault="000B2596" w:rsidP="000B2596">
            <w:r>
              <w:t>Unlawful/Unnecessary Arrest or Detention</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0DBA7D3" w14:textId="77777777" w:rsidR="000B2596" w:rsidRDefault="000B2596" w:rsidP="000B2596">
            <w:r>
              <w:t>126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5C209DD" w14:textId="77777777" w:rsidR="000B2596" w:rsidRDefault="000B2596" w:rsidP="000B2596">
            <w:r>
              <w:t>163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00156AE" w14:textId="77777777" w:rsidR="000B2596" w:rsidRDefault="000B2596" w:rsidP="000B2596">
            <w:r>
              <w:t>172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E66FA33" w14:textId="77777777" w:rsidR="000B2596" w:rsidRDefault="000B2596" w:rsidP="000B2596">
            <w:r>
              <w:t>126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F9937B6" w14:textId="77777777" w:rsidR="000B2596" w:rsidRDefault="000B2596" w:rsidP="000B2596">
            <w:r>
              <w:t>105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3FB425E" w14:textId="77777777" w:rsidR="000B2596" w:rsidRDefault="000B2596" w:rsidP="000B2596">
            <w:r>
              <w:t>96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92DF6BA" w14:textId="77777777" w:rsidR="000B2596" w:rsidRDefault="000B2596" w:rsidP="000B2596">
            <w:r>
              <w:t>70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35F0A99" w14:textId="77777777" w:rsidR="000B2596" w:rsidRDefault="000B2596" w:rsidP="000B2596">
            <w:r>
              <w:t>91</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0265EEE" w14:textId="77777777" w:rsidR="000B2596" w:rsidRDefault="000B2596" w:rsidP="000B2596">
            <w:r>
              <w:t>93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B14B803" w14:textId="77777777" w:rsidR="000B2596" w:rsidRDefault="000B2596" w:rsidP="000B2596">
            <w:r>
              <w:t>83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4E425FB" w14:textId="77777777" w:rsidR="000B2596" w:rsidRDefault="000B2596" w:rsidP="000B2596">
            <w:r>
              <w:t>78</w:t>
            </w:r>
          </w:p>
        </w:tc>
      </w:tr>
      <w:tr w:rsidR="000B2596" w14:paraId="4AF6B99E" w14:textId="77777777" w:rsidTr="000B2596">
        <w:trPr>
          <w:trHeight w:val="31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7A50C35" w14:textId="3F2C6558" w:rsidR="000B2596" w:rsidRDefault="000B2596" w:rsidP="000B2596">
            <w:r>
              <w:t>Total</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1D24717" w14:textId="77777777" w:rsidR="000B2596" w:rsidRDefault="000B2596" w:rsidP="000B2596">
            <w:r>
              <w:t>4,859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4AFDFE51" w14:textId="77777777" w:rsidR="000B2596" w:rsidRDefault="000B2596" w:rsidP="000B2596">
            <w:r>
              <w:t>7,253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D1255C7" w14:textId="77777777" w:rsidR="000B2596" w:rsidRDefault="000B2596" w:rsidP="000B2596">
            <w:r>
              <w:t>6,749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371596F" w14:textId="77777777" w:rsidR="000B2596" w:rsidRDefault="000B2596" w:rsidP="000B2596">
            <w:r>
              <w:t>6,021</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E80BC41" w14:textId="77777777" w:rsidR="000B2596" w:rsidRDefault="000B2596" w:rsidP="000B2596">
            <w:r>
              <w:t>6,099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BC30E03" w14:textId="77777777" w:rsidR="000B2596" w:rsidRDefault="000B2596" w:rsidP="000B2596">
            <w:r>
              <w:t>6,455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4FD616D" w14:textId="77777777" w:rsidR="000B2596" w:rsidRDefault="000B2596" w:rsidP="000B2596">
            <w:r>
              <w:t>6,847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78F98B8" w14:textId="77777777" w:rsidR="000B2596" w:rsidRDefault="000B2596" w:rsidP="000B2596">
            <w:r>
              <w:t>7,136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AE2AA15" w14:textId="77777777" w:rsidR="000B2596" w:rsidRDefault="000B2596" w:rsidP="000B2596">
            <w:r>
              <w:t>5,597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4A395F0" w14:textId="77777777" w:rsidR="000B2596" w:rsidRDefault="000B2596" w:rsidP="000B2596">
            <w:r>
              <w:t>5,753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2BBD568" w14:textId="77777777" w:rsidR="000B2596" w:rsidRDefault="000B2596" w:rsidP="000B2596">
            <w:r>
              <w:t>5,816</w:t>
            </w:r>
          </w:p>
        </w:tc>
      </w:tr>
    </w:tbl>
    <w:p w14:paraId="38D67D4A" w14:textId="77777777" w:rsidR="000B2596" w:rsidRDefault="000B2596" w:rsidP="00793DD5"/>
    <w:p w14:paraId="589011C9" w14:textId="77777777" w:rsidR="001409DE" w:rsidRDefault="001409DE" w:rsidP="001409DE"/>
    <w:p w14:paraId="6FABB5EF" w14:textId="77777777" w:rsidR="001409DE" w:rsidRDefault="001409DE" w:rsidP="001409DE"/>
    <w:p w14:paraId="38F42046" w14:textId="77777777" w:rsidR="001409DE" w:rsidRDefault="001409DE" w:rsidP="001409DE"/>
    <w:p w14:paraId="39F76433" w14:textId="77777777" w:rsidR="001409DE" w:rsidRDefault="001409DE" w:rsidP="001409DE"/>
    <w:p w14:paraId="400A550E" w14:textId="77777777" w:rsidR="001409DE" w:rsidRDefault="001409DE" w:rsidP="001409DE"/>
    <w:p w14:paraId="7987F25D" w14:textId="77777777" w:rsidR="001409DE" w:rsidRDefault="001409DE" w:rsidP="001409DE"/>
    <w:p w14:paraId="4A723584" w14:textId="77777777" w:rsidR="001409DE" w:rsidRDefault="001409DE" w:rsidP="001409DE"/>
    <w:p w14:paraId="1F9B41B2" w14:textId="77777777" w:rsidR="001409DE" w:rsidRDefault="001409DE" w:rsidP="001409DE"/>
    <w:p w14:paraId="3F2CE3A1" w14:textId="77777777" w:rsidR="001409DE" w:rsidRDefault="001409DE" w:rsidP="001409DE"/>
    <w:p w14:paraId="10AFE739" w14:textId="77777777" w:rsidR="001409DE" w:rsidRDefault="001409DE" w:rsidP="001409DE"/>
    <w:p w14:paraId="6BDFE823" w14:textId="67839EC2" w:rsidR="001409DE" w:rsidRPr="001409DE" w:rsidRDefault="001409DE" w:rsidP="001409DE">
      <w:pPr>
        <w:rPr>
          <w:b/>
          <w:bCs/>
          <w:u w:val="single"/>
        </w:rPr>
      </w:pPr>
      <w:r w:rsidRPr="001409DE">
        <w:rPr>
          <w:b/>
          <w:bCs/>
          <w:u w:val="single"/>
        </w:rPr>
        <w:lastRenderedPageBreak/>
        <w:t>Appendix 2</w:t>
      </w:r>
    </w:p>
    <w:p w14:paraId="68FC77E3" w14:textId="47463805" w:rsidR="001409DE" w:rsidRPr="001409DE" w:rsidRDefault="001409DE" w:rsidP="001409DE">
      <w:pPr>
        <w:rPr>
          <w:u w:val="single"/>
        </w:rPr>
      </w:pPr>
      <w:r w:rsidRPr="001409DE">
        <w:rPr>
          <w:u w:val="single"/>
        </w:rPr>
        <w:t>Table 3</w:t>
      </w:r>
    </w:p>
    <w:p w14:paraId="23478145" w14:textId="49520E6B" w:rsidR="001409DE" w:rsidRPr="001409DE" w:rsidRDefault="001409DE" w:rsidP="001409DE">
      <w:r>
        <w:t xml:space="preserve">Table 3 details the number of allegations involving </w:t>
      </w:r>
      <w:r w:rsidRPr="001409DE">
        <w:rPr>
          <w:i/>
          <w:iCs/>
          <w:u w:val="single"/>
        </w:rPr>
        <w:t>Discriminatory Behaviour</w:t>
      </w:r>
      <w:r w:rsidRPr="001409DE">
        <w:rPr>
          <w:i/>
          <w:iCs/>
        </w:rPr>
        <w:t xml:space="preserve"> allegations </w:t>
      </w:r>
      <w:r w:rsidRPr="001409DE">
        <w:t>attached to complaints received 01/04/2014 – 31/12/2024 inclusive, by allegation result and calendar year</w:t>
      </w:r>
    </w:p>
    <w:tbl>
      <w:tblPr>
        <w:tblW w:w="0" w:type="auto"/>
        <w:tblCellMar>
          <w:left w:w="0" w:type="dxa"/>
          <w:right w:w="0" w:type="dxa"/>
        </w:tblCellMar>
        <w:tblLook w:val="04A0" w:firstRow="1" w:lastRow="0" w:firstColumn="1" w:lastColumn="0" w:noHBand="0" w:noVBand="1"/>
      </w:tblPr>
      <w:tblGrid>
        <w:gridCol w:w="5340"/>
        <w:gridCol w:w="750"/>
        <w:gridCol w:w="750"/>
        <w:gridCol w:w="750"/>
        <w:gridCol w:w="750"/>
        <w:gridCol w:w="750"/>
        <w:gridCol w:w="750"/>
        <w:gridCol w:w="750"/>
        <w:gridCol w:w="750"/>
        <w:gridCol w:w="750"/>
        <w:gridCol w:w="750"/>
        <w:gridCol w:w="750"/>
      </w:tblGrid>
      <w:tr w:rsidR="001409DE" w14:paraId="78EF4C8D" w14:textId="77777777" w:rsidTr="001409DE">
        <w:trPr>
          <w:trHeight w:val="315"/>
        </w:trPr>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E177A6D" w14:textId="77777777" w:rsidR="001409DE" w:rsidRDefault="001409DE" w:rsidP="001409DE">
            <w:r>
              <w:t>Allegation Result</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65C0A613" w14:textId="77777777" w:rsidR="001409DE" w:rsidRDefault="001409DE" w:rsidP="001409DE">
            <w:r>
              <w:t>2014</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2AB0181F" w14:textId="77777777" w:rsidR="001409DE" w:rsidRDefault="001409DE" w:rsidP="001409DE">
            <w:r>
              <w:t>2015</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409A2259" w14:textId="77777777" w:rsidR="001409DE" w:rsidRDefault="001409DE" w:rsidP="001409DE">
            <w:r>
              <w:t>2016</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42475F0" w14:textId="77777777" w:rsidR="001409DE" w:rsidRDefault="001409DE" w:rsidP="001409DE">
            <w:r>
              <w:t>2017</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35CD6E93" w14:textId="77777777" w:rsidR="001409DE" w:rsidRDefault="001409DE" w:rsidP="001409DE">
            <w:r>
              <w:t>2018</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2517D6F2" w14:textId="77777777" w:rsidR="001409DE" w:rsidRDefault="001409DE" w:rsidP="001409DE">
            <w:r>
              <w:t>2019</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1E9DB7B7" w14:textId="77777777" w:rsidR="001409DE" w:rsidRDefault="001409DE" w:rsidP="001409DE">
            <w:r>
              <w:t>2020</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239DAAFE" w14:textId="77777777" w:rsidR="001409DE" w:rsidRDefault="001409DE" w:rsidP="001409DE">
            <w:r>
              <w:t>2021</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2B59EFF" w14:textId="77777777" w:rsidR="001409DE" w:rsidRDefault="001409DE" w:rsidP="001409DE">
            <w:r>
              <w:t>2022</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3CA19CD7" w14:textId="77777777" w:rsidR="001409DE" w:rsidRDefault="001409DE" w:rsidP="001409DE">
            <w:r>
              <w:t>2023</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1F0AB5DB" w14:textId="77777777" w:rsidR="001409DE" w:rsidRDefault="001409DE" w:rsidP="001409DE">
            <w:r>
              <w:t>2024</w:t>
            </w:r>
          </w:p>
        </w:tc>
      </w:tr>
      <w:tr w:rsidR="001409DE" w14:paraId="018C8BA9"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58ADB1" w14:textId="77777777" w:rsidR="001409DE" w:rsidRDefault="001409DE" w:rsidP="001409DE">
            <w:r>
              <w:t>Abandoned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80C2B80"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5EDC349" w14:textId="77777777" w:rsidR="001409DE" w:rsidRDefault="001409DE" w:rsidP="001409DE">
            <w: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D69B609"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B797467"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D735415"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C6D7A1A" w14:textId="77777777" w:rsidR="001409DE" w:rsidRDefault="001409DE" w:rsidP="001409DE">
            <w: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EF2146E" w14:textId="77777777" w:rsidR="001409DE" w:rsidRDefault="001409DE" w:rsidP="001409DE">
            <w: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806A9C2" w14:textId="77777777" w:rsidR="001409DE" w:rsidRDefault="001409DE" w:rsidP="001409DE">
            <w: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2AB639A" w14:textId="77777777" w:rsidR="001409DE" w:rsidRDefault="001409DE" w:rsidP="001409DE">
            <w: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418C28B"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4EC1FCB" w14:textId="77777777" w:rsidR="001409DE" w:rsidRDefault="001409DE" w:rsidP="001409DE">
            <w:r>
              <w:t>2</w:t>
            </w:r>
          </w:p>
        </w:tc>
      </w:tr>
      <w:tr w:rsidR="001409DE" w14:paraId="2EC64701"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7D68EDE" w14:textId="77777777" w:rsidR="001409DE" w:rsidRDefault="001409DE" w:rsidP="001409DE">
            <w:r>
              <w:t>Not Upheld - Concluded by explanation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D337E2A" w14:textId="77777777" w:rsidR="001409DE" w:rsidRDefault="001409DE" w:rsidP="001409DE">
            <w:r>
              <w:t>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B7BFA58" w14:textId="77777777" w:rsidR="001409DE" w:rsidRDefault="001409DE" w:rsidP="001409DE">
            <w:r>
              <w:t>37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E3FE579" w14:textId="77777777" w:rsidR="001409DE" w:rsidRDefault="001409DE" w:rsidP="001409DE">
            <w:r>
              <w:t>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4533531" w14:textId="77777777" w:rsidR="001409DE" w:rsidRDefault="001409DE" w:rsidP="001409DE">
            <w:r>
              <w:t>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72C5160" w14:textId="77777777" w:rsidR="001409DE" w:rsidRDefault="001409DE" w:rsidP="001409DE">
            <w:r>
              <w:t>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A3A88AB" w14:textId="77777777" w:rsidR="001409DE" w:rsidRDefault="001409DE" w:rsidP="001409DE">
            <w:r>
              <w:t>46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299FC2F" w14:textId="77777777" w:rsidR="001409DE" w:rsidRDefault="001409DE" w:rsidP="001409DE">
            <w:r>
              <w:t>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86C7EC6" w14:textId="77777777" w:rsidR="001409DE" w:rsidRDefault="001409DE" w:rsidP="001409DE">
            <w:r>
              <w:t>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5485AC2" w14:textId="77777777" w:rsidR="001409DE" w:rsidRDefault="001409DE" w:rsidP="001409DE">
            <w:r>
              <w:t>41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3CE7C60" w14:textId="77777777" w:rsidR="001409DE" w:rsidRDefault="001409DE" w:rsidP="001409DE">
            <w:r>
              <w:t>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38635AE" w14:textId="77777777" w:rsidR="001409DE" w:rsidRDefault="001409DE" w:rsidP="001409DE">
            <w:r>
              <w:t>26</w:t>
            </w:r>
          </w:p>
        </w:tc>
      </w:tr>
      <w:tr w:rsidR="001409DE" w14:paraId="1DD314FF"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79EAF55" w14:textId="77777777" w:rsidR="001409DE" w:rsidRDefault="001409DE" w:rsidP="001409DE">
            <w:r>
              <w:t>Not Upheld - Insufficient evidence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DB90BAB" w14:textId="77777777" w:rsidR="001409DE" w:rsidRDefault="001409DE" w:rsidP="001409DE">
            <w:r>
              <w:t>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F019D5F" w14:textId="77777777" w:rsidR="001409DE" w:rsidRDefault="001409DE" w:rsidP="001409DE">
            <w: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BFF4843" w14:textId="77777777" w:rsidR="001409DE" w:rsidRDefault="001409DE" w:rsidP="001409DE">
            <w:r>
              <w:t>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B840AD4" w14:textId="77777777" w:rsidR="001409DE" w:rsidRDefault="001409DE" w:rsidP="001409DE">
            <w: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3A054B7" w14:textId="77777777" w:rsidR="001409DE" w:rsidRDefault="001409DE" w:rsidP="001409DE">
            <w: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8DEA0F6" w14:textId="77777777" w:rsidR="001409DE" w:rsidRDefault="001409DE" w:rsidP="001409DE">
            <w: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FD1C4D9" w14:textId="77777777" w:rsidR="001409DE" w:rsidRDefault="001409DE" w:rsidP="001409DE">
            <w: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D799D9D" w14:textId="77777777" w:rsidR="001409DE" w:rsidRDefault="001409DE" w:rsidP="001409DE">
            <w: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DA04F47" w14:textId="77777777" w:rsidR="001409DE" w:rsidRDefault="001409DE" w:rsidP="001409DE">
            <w: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A0E15F5" w14:textId="77777777" w:rsidR="001409DE" w:rsidRDefault="001409DE" w:rsidP="001409DE">
            <w:r>
              <w:t>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96D3690" w14:textId="77777777" w:rsidR="001409DE" w:rsidRDefault="001409DE" w:rsidP="001409DE">
            <w:r>
              <w:t>9</w:t>
            </w:r>
          </w:p>
        </w:tc>
      </w:tr>
      <w:tr w:rsidR="001409DE" w14:paraId="5E5076DF"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D93694" w14:textId="77777777" w:rsidR="001409DE" w:rsidRDefault="001409DE" w:rsidP="001409DE">
            <w:r>
              <w:t>Not upheld - Leading to No Proceedings by APF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90FB198"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A1CE84A"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2083115"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F4FB011"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F227A48"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8B9EA9B"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F6A1CF7"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4E615B5"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9DBA2D6"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A02BCAB" w14:textId="77777777" w:rsidR="001409DE" w:rsidRDefault="001409DE" w:rsidP="001409DE">
            <w: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60CA630" w14:textId="77777777" w:rsidR="001409DE" w:rsidRDefault="001409DE" w:rsidP="001409DE">
            <w:r>
              <w:t>2</w:t>
            </w:r>
          </w:p>
        </w:tc>
      </w:tr>
      <w:tr w:rsidR="001409DE" w14:paraId="6DCF2172"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ED3788" w14:textId="77777777" w:rsidR="001409DE" w:rsidRDefault="001409DE" w:rsidP="001409DE">
            <w:r>
              <w:t>Not Upheld - Malicious complaint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A78332C"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05005DC"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8FDB1D3"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79BAA85"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9E97301"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BEDBA2B"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A0BBE10"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F875FBB"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7703C55"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7C779F3"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A9E166E" w14:textId="77777777" w:rsidR="001409DE" w:rsidRDefault="001409DE" w:rsidP="001409DE">
            <w:r>
              <w:t>0</w:t>
            </w:r>
          </w:p>
        </w:tc>
      </w:tr>
      <w:tr w:rsidR="001409DE" w14:paraId="1FC7BB27"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43080D" w14:textId="77777777" w:rsidR="001409DE" w:rsidRDefault="001409DE" w:rsidP="001409DE">
            <w:r>
              <w:t>Resolved by FLR (Assurance)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C98BB75"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A5C3E15"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FC6AFE1"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4561524"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575EE14"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83B539B"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70308B8"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A726982"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246AB4C"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C263AE2"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1ADB364" w14:textId="77777777" w:rsidR="001409DE" w:rsidRDefault="001409DE" w:rsidP="001409DE">
            <w:r>
              <w:t>0</w:t>
            </w:r>
          </w:p>
        </w:tc>
      </w:tr>
      <w:tr w:rsidR="001409DE" w14:paraId="569E748A"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638702" w14:textId="77777777" w:rsidR="001409DE" w:rsidRDefault="001409DE" w:rsidP="001409DE">
            <w:r>
              <w:t>Resolved by FLR (Explanation)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13F2847"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EF8E963"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E1E3A47"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8AEA249"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E94CB53"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D48EBD7"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18C9C40"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A533AE9"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607D9A2"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634DF4A"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566DFA5" w14:textId="77777777" w:rsidR="001409DE" w:rsidRDefault="001409DE" w:rsidP="001409DE">
            <w:r>
              <w:t>2</w:t>
            </w:r>
          </w:p>
        </w:tc>
      </w:tr>
      <w:tr w:rsidR="001409DE" w14:paraId="2B9D528C"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E9A36F" w14:textId="77777777" w:rsidR="001409DE" w:rsidRDefault="001409DE" w:rsidP="001409DE">
            <w:r>
              <w:t>Upheld - Concluded by explanation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92F8FDE"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0AF40D8" w14:textId="77777777" w:rsidR="001409DE" w:rsidRDefault="001409DE" w:rsidP="001409DE">
            <w: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E57686C"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A4DDBCB"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7F5A514"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5CAE228"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352F5F7"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0B2F1FB"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BF9D737"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AC23930"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818D482" w14:textId="77777777" w:rsidR="001409DE" w:rsidRDefault="001409DE" w:rsidP="001409DE">
            <w:r>
              <w:t>0</w:t>
            </w:r>
          </w:p>
        </w:tc>
      </w:tr>
      <w:tr w:rsidR="001409DE" w14:paraId="773980B6"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D749E19" w14:textId="77777777" w:rsidR="001409DE" w:rsidRDefault="001409DE" w:rsidP="001409DE">
            <w:r>
              <w:t>Upheld - Leading to misconduct disposal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DE20BBD"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3E8FF4B" w14:textId="77777777" w:rsidR="001409DE" w:rsidRDefault="001409DE" w:rsidP="001409DE">
            <w: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C96AB7A"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B3D28E3"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4563D78"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B80F67E"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D7D07B4"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09D6C9E"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25CB646"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9C98335"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2BB51AF" w14:textId="77777777" w:rsidR="001409DE" w:rsidRDefault="001409DE" w:rsidP="001409DE">
            <w:r>
              <w:t>0</w:t>
            </w:r>
          </w:p>
        </w:tc>
      </w:tr>
      <w:tr w:rsidR="001409DE" w14:paraId="7D5E9AAC"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40BB3A9" w14:textId="77777777" w:rsidR="001409DE" w:rsidRDefault="001409DE" w:rsidP="001409DE">
            <w:r>
              <w:lastRenderedPageBreak/>
              <w:t>Withdrawn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FF849CF"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3348E4C"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243DC71" w14:textId="77777777" w:rsidR="001409DE" w:rsidRDefault="001409DE" w:rsidP="001409DE">
            <w: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06CA501"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302FBEB"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4873712"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2587912"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7295E9C" w14:textId="77777777" w:rsidR="001409DE" w:rsidRDefault="001409DE" w:rsidP="001409DE">
            <w: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91F73EB"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6AED1C5"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BB22C68" w14:textId="77777777" w:rsidR="001409DE" w:rsidRDefault="001409DE" w:rsidP="001409DE">
            <w:r>
              <w:t>3</w:t>
            </w:r>
          </w:p>
        </w:tc>
      </w:tr>
      <w:tr w:rsidR="001409DE" w14:paraId="3D0D19F0"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60B34B" w14:textId="77777777" w:rsidR="001409DE" w:rsidRDefault="001409DE" w:rsidP="001409DE">
            <w:r>
              <w:t>Ongoing - not yet concluded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5CB12FE"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AA496CE"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73A3254"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EA9A405"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D06360B"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254494A"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68CA17B"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C1BC06D"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FB20025"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ABC70AB" w14:textId="77777777" w:rsidR="001409DE" w:rsidRDefault="001409DE" w:rsidP="001409DE">
            <w: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A3B392C" w14:textId="77777777" w:rsidR="001409DE" w:rsidRDefault="001409DE" w:rsidP="001409DE">
            <w:r>
              <w:t>37</w:t>
            </w:r>
          </w:p>
        </w:tc>
      </w:tr>
      <w:tr w:rsidR="001409DE" w14:paraId="36B41689"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A8D492" w14:textId="44960266" w:rsidR="001409DE" w:rsidRDefault="001409DE" w:rsidP="001409DE">
            <w:r>
              <w:t>Total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9EFAA58" w14:textId="77777777" w:rsidR="001409DE" w:rsidRDefault="001409DE" w:rsidP="001409DE">
            <w:r>
              <w:t>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A66F2D8" w14:textId="77777777" w:rsidR="001409DE" w:rsidRDefault="001409DE" w:rsidP="001409DE">
            <w:r>
              <w:t>69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A7F327E" w14:textId="77777777" w:rsidR="001409DE" w:rsidRDefault="001409DE" w:rsidP="001409DE">
            <w:r>
              <w:t>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CC0E683" w14:textId="77777777" w:rsidR="001409DE" w:rsidRDefault="001409DE" w:rsidP="001409DE">
            <w:r>
              <w:t>44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F580827" w14:textId="77777777" w:rsidR="001409DE" w:rsidRDefault="001409DE" w:rsidP="001409DE">
            <w:r>
              <w:t>39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F3DB4D5" w14:textId="77777777" w:rsidR="001409DE" w:rsidRDefault="001409DE" w:rsidP="001409DE">
            <w:r>
              <w:t>70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D4F222D" w14:textId="77777777" w:rsidR="001409DE" w:rsidRDefault="001409DE" w:rsidP="001409DE">
            <w:r>
              <w:t>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FDEE72B" w14:textId="77777777" w:rsidR="001409DE" w:rsidRDefault="001409DE" w:rsidP="001409DE">
            <w:r>
              <w:t>75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557601F" w14:textId="77777777" w:rsidR="001409DE" w:rsidRDefault="001409DE" w:rsidP="001409DE">
            <w:r>
              <w:t>63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40F56B6" w14:textId="77777777" w:rsidR="001409DE" w:rsidRDefault="001409DE" w:rsidP="001409DE">
            <w:r>
              <w:t>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B7E4899" w14:textId="77777777" w:rsidR="001409DE" w:rsidRDefault="001409DE" w:rsidP="001409DE">
            <w:r>
              <w:t>81</w:t>
            </w:r>
          </w:p>
        </w:tc>
      </w:tr>
    </w:tbl>
    <w:p w14:paraId="7C8FABD9" w14:textId="77777777" w:rsidR="008E4DEE" w:rsidRDefault="008E4DEE" w:rsidP="008E4DEE">
      <w:r>
        <w:t xml:space="preserve">Data is based on the case received date. </w:t>
      </w:r>
    </w:p>
    <w:p w14:paraId="2EC0B1AC" w14:textId="77777777" w:rsidR="008E4DEE" w:rsidRDefault="008E4DEE" w:rsidP="008E4DEE">
      <w:r>
        <w:t xml:space="preserve">Data refers to Police officers only. Unidentified officers are excluded from the table above. </w:t>
      </w:r>
    </w:p>
    <w:p w14:paraId="316CE77B" w14:textId="77777777" w:rsidR="008E4DEE" w:rsidRDefault="008E4DEE" w:rsidP="008E4DEE">
      <w:r>
        <w:t xml:space="preserve">Data for 2014 covers the period of 01/04/2014 – 31/12/2024 inclusive. </w:t>
      </w:r>
    </w:p>
    <w:p w14:paraId="4D5499F4" w14:textId="77777777" w:rsidR="001409DE" w:rsidRDefault="001409DE" w:rsidP="00793DD5"/>
    <w:p w14:paraId="0A77AFA3" w14:textId="1958FF7F" w:rsidR="001409DE" w:rsidRPr="001409DE" w:rsidRDefault="001409DE" w:rsidP="00793DD5">
      <w:pPr>
        <w:rPr>
          <w:u w:val="single"/>
        </w:rPr>
      </w:pPr>
      <w:r w:rsidRPr="001409DE">
        <w:rPr>
          <w:u w:val="single"/>
        </w:rPr>
        <w:t xml:space="preserve">Table 4 </w:t>
      </w:r>
    </w:p>
    <w:p w14:paraId="0BCD5F13" w14:textId="072E2817" w:rsidR="001409DE" w:rsidRDefault="001409DE" w:rsidP="001409DE">
      <w:r>
        <w:t xml:space="preserve">Table 4 details allegations involving a </w:t>
      </w:r>
      <w:r w:rsidRPr="001409DE">
        <w:rPr>
          <w:i/>
          <w:iCs/>
          <w:u w:val="single"/>
        </w:rPr>
        <w:t>sexual circumstance</w:t>
      </w:r>
      <w:r>
        <w:t xml:space="preserve"> attached to complaints received 01/04/2014 – 31/12/2024 inclusive, by allegation result and calendar year.</w:t>
      </w:r>
    </w:p>
    <w:tbl>
      <w:tblPr>
        <w:tblW w:w="0" w:type="auto"/>
        <w:tblCellMar>
          <w:left w:w="0" w:type="dxa"/>
          <w:right w:w="0" w:type="dxa"/>
        </w:tblCellMar>
        <w:tblLook w:val="04A0" w:firstRow="1" w:lastRow="0" w:firstColumn="1" w:lastColumn="0" w:noHBand="0" w:noVBand="1"/>
      </w:tblPr>
      <w:tblGrid>
        <w:gridCol w:w="5340"/>
        <w:gridCol w:w="750"/>
        <w:gridCol w:w="750"/>
        <w:gridCol w:w="750"/>
        <w:gridCol w:w="750"/>
        <w:gridCol w:w="750"/>
        <w:gridCol w:w="750"/>
        <w:gridCol w:w="750"/>
        <w:gridCol w:w="750"/>
        <w:gridCol w:w="750"/>
        <w:gridCol w:w="750"/>
        <w:gridCol w:w="750"/>
      </w:tblGrid>
      <w:tr w:rsidR="001409DE" w14:paraId="23714391" w14:textId="77777777" w:rsidTr="001409DE">
        <w:trPr>
          <w:trHeight w:val="315"/>
        </w:trPr>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0BD16363" w14:textId="77777777" w:rsidR="001409DE" w:rsidRDefault="001409DE" w:rsidP="001409DE">
            <w:r>
              <w:t>Allegation Result</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ADE7F8A" w14:textId="77777777" w:rsidR="001409DE" w:rsidRDefault="001409DE" w:rsidP="001409DE">
            <w:r>
              <w:t>2014</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44CFC246" w14:textId="77777777" w:rsidR="001409DE" w:rsidRDefault="001409DE" w:rsidP="001409DE">
            <w:r>
              <w:t>2015</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15CDC0E" w14:textId="77777777" w:rsidR="001409DE" w:rsidRDefault="001409DE" w:rsidP="001409DE">
            <w:r>
              <w:t>2016</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1273031E" w14:textId="77777777" w:rsidR="001409DE" w:rsidRDefault="001409DE" w:rsidP="001409DE">
            <w:r>
              <w:t>2017</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614B5D74" w14:textId="77777777" w:rsidR="001409DE" w:rsidRDefault="001409DE" w:rsidP="001409DE">
            <w:r>
              <w:t>2018</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234D16E4" w14:textId="77777777" w:rsidR="001409DE" w:rsidRDefault="001409DE" w:rsidP="001409DE">
            <w:r>
              <w:t>2019</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5F73E3F2" w14:textId="77777777" w:rsidR="001409DE" w:rsidRDefault="001409DE" w:rsidP="001409DE">
            <w:r>
              <w:t>2020</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BFCA0D0" w14:textId="77777777" w:rsidR="001409DE" w:rsidRDefault="001409DE" w:rsidP="001409DE">
            <w:r>
              <w:t>2021</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25B24CF7" w14:textId="77777777" w:rsidR="001409DE" w:rsidRDefault="001409DE" w:rsidP="001409DE">
            <w:r>
              <w:t>2022</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443F6DE1" w14:textId="77777777" w:rsidR="001409DE" w:rsidRDefault="001409DE" w:rsidP="001409DE">
            <w:r>
              <w:t>2023</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50673BE3" w14:textId="77777777" w:rsidR="001409DE" w:rsidRDefault="001409DE" w:rsidP="001409DE">
            <w:r>
              <w:t>2024</w:t>
            </w:r>
          </w:p>
        </w:tc>
      </w:tr>
      <w:tr w:rsidR="001409DE" w14:paraId="75D0D37C"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39CBD2" w14:textId="77777777" w:rsidR="001409DE" w:rsidRDefault="001409DE" w:rsidP="001409DE">
            <w:r>
              <w:t>Abandoned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34D0F55"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E51F3C4"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9016F69"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71BEB61"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521D916"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E91C361"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9016EC1"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702A82D"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BFA7375"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22C1052"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F7AD1D7" w14:textId="77777777" w:rsidR="001409DE" w:rsidRDefault="001409DE" w:rsidP="001409DE">
            <w:r>
              <w:t>0</w:t>
            </w:r>
          </w:p>
        </w:tc>
      </w:tr>
      <w:tr w:rsidR="001409DE" w14:paraId="6ACE7E72"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4E2698" w14:textId="77777777" w:rsidR="001409DE" w:rsidRDefault="001409DE" w:rsidP="001409DE">
            <w:r>
              <w:t>Not Upheld - Concluded by explanation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C2B7A73" w14:textId="77777777" w:rsidR="001409DE" w:rsidRDefault="001409DE" w:rsidP="001409DE">
            <w: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B055076"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5ECB208"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476BDCA"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A5BC2E6" w14:textId="77777777" w:rsidR="001409DE" w:rsidRDefault="001409DE" w:rsidP="001409DE">
            <w: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D50ED90"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4B67878"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7384E30"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61C62EE" w14:textId="77777777" w:rsidR="001409DE" w:rsidRDefault="001409DE" w:rsidP="001409DE">
            <w: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A0BEFA0" w14:textId="77777777" w:rsidR="001409DE" w:rsidRDefault="001409DE" w:rsidP="001409DE">
            <w: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6F47238" w14:textId="77777777" w:rsidR="001409DE" w:rsidRDefault="001409DE" w:rsidP="001409DE">
            <w:r>
              <w:t>8</w:t>
            </w:r>
          </w:p>
        </w:tc>
      </w:tr>
      <w:tr w:rsidR="001409DE" w14:paraId="0333A72F"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ED5CCC9" w14:textId="77777777" w:rsidR="001409DE" w:rsidRDefault="001409DE" w:rsidP="001409DE">
            <w:r>
              <w:t>Not Upheld - Insufficient evidence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B1DE7C1"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5509B74"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068576F"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DEEE9D5"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18D662D"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8958D62"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C5DDBEB"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7CA8ED3"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0D6274C"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2AE3EA4"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1A5DD9C" w14:textId="77777777" w:rsidR="001409DE" w:rsidRDefault="001409DE" w:rsidP="001409DE">
            <w:r>
              <w:t>1</w:t>
            </w:r>
          </w:p>
        </w:tc>
      </w:tr>
      <w:tr w:rsidR="001409DE" w14:paraId="79C2D4BA"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FA163B4" w14:textId="77777777" w:rsidR="001409DE" w:rsidRDefault="001409DE" w:rsidP="001409DE">
            <w:r>
              <w:t>Not upheld - Leading to No Proceedings by APF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D7AE1FD" w14:textId="77777777" w:rsidR="001409DE" w:rsidRDefault="001409DE" w:rsidP="001409DE">
            <w: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E3C5931" w14:textId="77777777" w:rsidR="001409DE" w:rsidRDefault="001409DE" w:rsidP="001409DE">
            <w: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C365BB5" w14:textId="77777777" w:rsidR="001409DE" w:rsidRDefault="001409DE" w:rsidP="001409DE">
            <w: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C68FD5B" w14:textId="77777777" w:rsidR="001409DE" w:rsidRDefault="001409DE" w:rsidP="001409DE">
            <w:r>
              <w:t>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2CC544A" w14:textId="77777777" w:rsidR="001409DE" w:rsidRDefault="001409DE" w:rsidP="001409DE">
            <w: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3CA789E" w14:textId="77777777" w:rsidR="001409DE" w:rsidRDefault="001409DE" w:rsidP="001409DE">
            <w: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9822827" w14:textId="77777777" w:rsidR="001409DE" w:rsidRDefault="001409DE" w:rsidP="001409DE">
            <w:r>
              <w:t>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14B4971" w14:textId="77777777" w:rsidR="001409DE" w:rsidRDefault="001409DE" w:rsidP="001409DE">
            <w: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04D55C3" w14:textId="77777777" w:rsidR="001409DE" w:rsidRDefault="001409DE" w:rsidP="001409DE">
            <w: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1DFC7EC" w14:textId="77777777" w:rsidR="001409DE" w:rsidRDefault="001409DE" w:rsidP="001409DE">
            <w: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1057768" w14:textId="77777777" w:rsidR="001409DE" w:rsidRDefault="001409DE" w:rsidP="001409DE">
            <w:r>
              <w:t>3</w:t>
            </w:r>
          </w:p>
        </w:tc>
      </w:tr>
      <w:tr w:rsidR="001409DE" w14:paraId="2F1D71A5"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267DED4" w14:textId="77777777" w:rsidR="001409DE" w:rsidRDefault="001409DE" w:rsidP="001409DE">
            <w:r>
              <w:lastRenderedPageBreak/>
              <w:t>Not Upheld - Malicious complaint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5DC3D37"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D25246D"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4F31AF9"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D5EB732"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5A6D2DB"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BF3DF4B"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5CA21E1"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6828238"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7CA4AC6"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6A3831F"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9E9F309" w14:textId="77777777" w:rsidR="001409DE" w:rsidRDefault="001409DE" w:rsidP="001409DE">
            <w:r>
              <w:t>0</w:t>
            </w:r>
          </w:p>
        </w:tc>
      </w:tr>
      <w:tr w:rsidR="001409DE" w14:paraId="2D75F2EA"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9D8476" w14:textId="77777777" w:rsidR="001409DE" w:rsidRDefault="001409DE" w:rsidP="001409DE">
            <w:r>
              <w:t>Upheld - Alternative to Prosecution by APF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0EF5B37"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98B173C"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80732DC"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7370880"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54DE39A"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8216143"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39D2AC4"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F7EA2D4"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8398225"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142AB46"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5B14A22" w14:textId="77777777" w:rsidR="001409DE" w:rsidRDefault="001409DE" w:rsidP="001409DE">
            <w:r>
              <w:t>0</w:t>
            </w:r>
          </w:p>
        </w:tc>
      </w:tr>
      <w:tr w:rsidR="001409DE" w14:paraId="25D21F98"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0F4C411" w14:textId="77777777" w:rsidR="001409DE" w:rsidRDefault="001409DE" w:rsidP="001409DE">
            <w:r>
              <w:t>Upheld - Concluded by explanation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9127778"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47E38C0"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953BE6A"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CBCF035"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757D2EF"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F43DEB6"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9C3B553"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40FF663"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36C0782"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268F45F"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F73BACD" w14:textId="77777777" w:rsidR="001409DE" w:rsidRDefault="001409DE" w:rsidP="001409DE">
            <w:r>
              <w:t>0</w:t>
            </w:r>
          </w:p>
        </w:tc>
      </w:tr>
      <w:tr w:rsidR="001409DE" w14:paraId="0E4AB46F"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912CAE3" w14:textId="77777777" w:rsidR="001409DE" w:rsidRDefault="001409DE" w:rsidP="001409DE">
            <w:r>
              <w:t>Upheld - Leading to criminal proceedings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0FE1093"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DCEB464"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DEB23C4"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0C7DBF6"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E4E4A53"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C8649D0"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6CA8D8C"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3A51DA9"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06FA227"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5AC9021"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8221349" w14:textId="77777777" w:rsidR="001409DE" w:rsidRDefault="001409DE" w:rsidP="001409DE">
            <w:r>
              <w:t>0</w:t>
            </w:r>
          </w:p>
        </w:tc>
      </w:tr>
      <w:tr w:rsidR="001409DE" w14:paraId="788ABE76"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2F8C2CA" w14:textId="77777777" w:rsidR="001409DE" w:rsidRDefault="001409DE" w:rsidP="001409DE">
            <w:r>
              <w:t>Upheld - Leading to misconduct disposal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C55AF9F"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E3F6AB5" w14:textId="77777777" w:rsidR="001409DE" w:rsidRDefault="001409DE" w:rsidP="001409DE">
            <w:r>
              <w:t>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1ED9D02"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3AD4E49"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AA12A53"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3E189E4"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E73E491"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F146884"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CFA61A0"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C801083"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806662F" w14:textId="77777777" w:rsidR="001409DE" w:rsidRDefault="001409DE" w:rsidP="001409DE">
            <w:r>
              <w:t>0</w:t>
            </w:r>
          </w:p>
        </w:tc>
      </w:tr>
      <w:tr w:rsidR="001409DE" w14:paraId="63A0D45B"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DB9A734" w14:textId="77777777" w:rsidR="001409DE" w:rsidRDefault="001409DE" w:rsidP="001409DE">
            <w:r>
              <w:t>Withdrawn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6507D49"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8E33C0C" w14:textId="77777777" w:rsidR="001409DE" w:rsidRDefault="001409DE" w:rsidP="001409DE">
            <w: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0839317"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2AEC76E"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62573FF"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5DFB77B"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28EE335"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EAF4AA2" w14:textId="77777777" w:rsidR="001409DE" w:rsidRDefault="001409DE" w:rsidP="001409DE">
            <w: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5CF15A6" w14:textId="77777777" w:rsidR="001409DE" w:rsidRDefault="001409DE" w:rsidP="001409DE">
            <w: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47E5140"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CFFFD2F" w14:textId="77777777" w:rsidR="001409DE" w:rsidRDefault="001409DE" w:rsidP="001409DE">
            <w:r>
              <w:t>1</w:t>
            </w:r>
          </w:p>
        </w:tc>
      </w:tr>
      <w:tr w:rsidR="001409DE" w14:paraId="0EE078F0"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BFF908F" w14:textId="77777777" w:rsidR="001409DE" w:rsidRDefault="001409DE" w:rsidP="001409DE">
            <w:r>
              <w:t>Ongoing - not yet concluded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6598E34"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4B1029C"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5BDEA79"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1D8E897"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95FD161"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BF05EFD"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F78E733"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C4A80D2"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13CC458"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3452574" w14:textId="77777777" w:rsidR="001409DE" w:rsidRDefault="001409DE" w:rsidP="001409DE">
            <w: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EBAC9E6" w14:textId="77777777" w:rsidR="001409DE" w:rsidRDefault="001409DE" w:rsidP="001409DE">
            <w:r>
              <w:t>4</w:t>
            </w:r>
          </w:p>
        </w:tc>
      </w:tr>
      <w:tr w:rsidR="001409DE" w14:paraId="1E5EB20B" w14:textId="77777777" w:rsidTr="001409DE">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8C56BE" w14:textId="18AD7C2E" w:rsidR="001409DE" w:rsidRDefault="001409DE" w:rsidP="001409DE">
            <w:r>
              <w:t>Total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6E8A2C6" w14:textId="77777777" w:rsidR="001409DE" w:rsidRDefault="001409DE" w:rsidP="001409DE">
            <w: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5B9410C" w14:textId="77777777" w:rsidR="001409DE" w:rsidRDefault="001409DE" w:rsidP="001409DE">
            <w:r>
              <w:t>36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F014F42" w14:textId="77777777" w:rsidR="001409DE" w:rsidRDefault="001409DE" w:rsidP="001409DE">
            <w:r>
              <w:t>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04A9861" w14:textId="77777777" w:rsidR="001409DE" w:rsidRDefault="001409DE" w:rsidP="001409DE">
            <w:r>
              <w:t>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8C48F63" w14:textId="77777777" w:rsidR="001409DE" w:rsidRDefault="001409DE" w:rsidP="001409DE">
            <w:r>
              <w:t>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7BDB41C" w14:textId="77777777" w:rsidR="001409DE" w:rsidRDefault="001409DE" w:rsidP="001409DE">
            <w:r>
              <w:t>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3B38CA3" w14:textId="77777777" w:rsidR="001409DE" w:rsidRDefault="001409DE" w:rsidP="001409DE">
            <w:r>
              <w:t>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A27035C" w14:textId="77777777" w:rsidR="001409DE" w:rsidRDefault="001409DE" w:rsidP="001409DE">
            <w:r>
              <w:t>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5B8B877" w14:textId="77777777" w:rsidR="001409DE" w:rsidRDefault="001409DE" w:rsidP="001409DE">
            <w:r>
              <w:t>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A89711E" w14:textId="77777777" w:rsidR="001409DE" w:rsidRDefault="001409DE" w:rsidP="001409DE">
            <w:r>
              <w:t>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5C5551B" w14:textId="77777777" w:rsidR="001409DE" w:rsidRDefault="001409DE" w:rsidP="001409DE">
            <w:r>
              <w:t>17</w:t>
            </w:r>
          </w:p>
        </w:tc>
      </w:tr>
    </w:tbl>
    <w:p w14:paraId="08C8F4A8" w14:textId="47EE331C" w:rsidR="008E4DEE" w:rsidRDefault="008E4DEE" w:rsidP="008E4DEE">
      <w:r>
        <w:t xml:space="preserve">Data is based on the case received date. </w:t>
      </w:r>
    </w:p>
    <w:p w14:paraId="205E77D9" w14:textId="4D677890" w:rsidR="008E4DEE" w:rsidRDefault="008E4DEE" w:rsidP="008E4DEE">
      <w:r>
        <w:t xml:space="preserve">Data refers to Police officers only. Unidentified officers are excluded from the table above. </w:t>
      </w:r>
    </w:p>
    <w:p w14:paraId="632876C1" w14:textId="54AF848A" w:rsidR="008E4DEE" w:rsidRDefault="008E4DEE" w:rsidP="008E4DEE">
      <w:r>
        <w:t xml:space="preserve">Data for 2014 covers the period of 01/04/2014 – 31/12/2024 inclusive. </w:t>
      </w:r>
    </w:p>
    <w:p w14:paraId="2260A96D" w14:textId="77777777" w:rsidR="008E4DEE" w:rsidRDefault="008E4DEE" w:rsidP="008E4DEE">
      <w:pPr>
        <w:rPr>
          <w:color w:val="156082"/>
        </w:rPr>
      </w:pPr>
    </w:p>
    <w:p w14:paraId="0A8AD9AC" w14:textId="77777777" w:rsidR="001409DE" w:rsidRDefault="001409DE" w:rsidP="00793DD5"/>
    <w:sectPr w:rsidR="001409DE" w:rsidSect="000B2596">
      <w:pgSz w:w="16838" w:h="11906" w:orient="landscape"/>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AFF606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511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D42E41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511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BB28BC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511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647468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511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41853E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511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D0768D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511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2596"/>
    <w:rsid w:val="000E2F19"/>
    <w:rsid w:val="000E6526"/>
    <w:rsid w:val="001409DE"/>
    <w:rsid w:val="00141533"/>
    <w:rsid w:val="00167528"/>
    <w:rsid w:val="00195CC4"/>
    <w:rsid w:val="00207326"/>
    <w:rsid w:val="00253DF6"/>
    <w:rsid w:val="00255F1E"/>
    <w:rsid w:val="0031478E"/>
    <w:rsid w:val="0036503B"/>
    <w:rsid w:val="00376A4A"/>
    <w:rsid w:val="003D6D03"/>
    <w:rsid w:val="003E12CA"/>
    <w:rsid w:val="004010DC"/>
    <w:rsid w:val="004341F0"/>
    <w:rsid w:val="00456324"/>
    <w:rsid w:val="00475460"/>
    <w:rsid w:val="00480F00"/>
    <w:rsid w:val="00490317"/>
    <w:rsid w:val="00491644"/>
    <w:rsid w:val="00496A08"/>
    <w:rsid w:val="004A0A6A"/>
    <w:rsid w:val="004E1605"/>
    <w:rsid w:val="004F653C"/>
    <w:rsid w:val="00515D0D"/>
    <w:rsid w:val="00540A52"/>
    <w:rsid w:val="00557306"/>
    <w:rsid w:val="00605115"/>
    <w:rsid w:val="00645CFA"/>
    <w:rsid w:val="00685219"/>
    <w:rsid w:val="006909CA"/>
    <w:rsid w:val="006D5799"/>
    <w:rsid w:val="007440EA"/>
    <w:rsid w:val="00750D83"/>
    <w:rsid w:val="00785DBC"/>
    <w:rsid w:val="00793DD5"/>
    <w:rsid w:val="007D55F6"/>
    <w:rsid w:val="007F490F"/>
    <w:rsid w:val="0086779C"/>
    <w:rsid w:val="00874BFD"/>
    <w:rsid w:val="008964EF"/>
    <w:rsid w:val="008E4DEE"/>
    <w:rsid w:val="0090479D"/>
    <w:rsid w:val="00915E01"/>
    <w:rsid w:val="009631A4"/>
    <w:rsid w:val="00977296"/>
    <w:rsid w:val="009779C7"/>
    <w:rsid w:val="009C2E43"/>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1F3E"/>
    <w:rsid w:val="00D47E36"/>
    <w:rsid w:val="00E242F3"/>
    <w:rsid w:val="00E55D79"/>
    <w:rsid w:val="00E61A0C"/>
    <w:rsid w:val="00E623BD"/>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847">
      <w:bodyDiv w:val="1"/>
      <w:marLeft w:val="0"/>
      <w:marRight w:val="0"/>
      <w:marTop w:val="0"/>
      <w:marBottom w:val="0"/>
      <w:divBdr>
        <w:top w:val="none" w:sz="0" w:space="0" w:color="auto"/>
        <w:left w:val="none" w:sz="0" w:space="0" w:color="auto"/>
        <w:bottom w:val="none" w:sz="0" w:space="0" w:color="auto"/>
        <w:right w:val="none" w:sz="0" w:space="0" w:color="auto"/>
      </w:divBdr>
    </w:div>
    <w:div w:id="110902673">
      <w:bodyDiv w:val="1"/>
      <w:marLeft w:val="0"/>
      <w:marRight w:val="0"/>
      <w:marTop w:val="0"/>
      <w:marBottom w:val="0"/>
      <w:divBdr>
        <w:top w:val="none" w:sz="0" w:space="0" w:color="auto"/>
        <w:left w:val="none" w:sz="0" w:space="0" w:color="auto"/>
        <w:bottom w:val="none" w:sz="0" w:space="0" w:color="auto"/>
        <w:right w:val="none" w:sz="0" w:space="0" w:color="auto"/>
      </w:divBdr>
    </w:div>
    <w:div w:id="122234958">
      <w:bodyDiv w:val="1"/>
      <w:marLeft w:val="0"/>
      <w:marRight w:val="0"/>
      <w:marTop w:val="0"/>
      <w:marBottom w:val="0"/>
      <w:divBdr>
        <w:top w:val="none" w:sz="0" w:space="0" w:color="auto"/>
        <w:left w:val="none" w:sz="0" w:space="0" w:color="auto"/>
        <w:bottom w:val="none" w:sz="0" w:space="0" w:color="auto"/>
        <w:right w:val="none" w:sz="0" w:space="0" w:color="auto"/>
      </w:divBdr>
    </w:div>
    <w:div w:id="916594495">
      <w:bodyDiv w:val="1"/>
      <w:marLeft w:val="0"/>
      <w:marRight w:val="0"/>
      <w:marTop w:val="0"/>
      <w:marBottom w:val="0"/>
      <w:divBdr>
        <w:top w:val="none" w:sz="0" w:space="0" w:color="auto"/>
        <w:left w:val="none" w:sz="0" w:space="0" w:color="auto"/>
        <w:bottom w:val="none" w:sz="0" w:space="0" w:color="auto"/>
        <w:right w:val="none" w:sz="0" w:space="0" w:color="auto"/>
      </w:divBdr>
    </w:div>
    <w:div w:id="1100642576">
      <w:bodyDiv w:val="1"/>
      <w:marLeft w:val="0"/>
      <w:marRight w:val="0"/>
      <w:marTop w:val="0"/>
      <w:marBottom w:val="0"/>
      <w:divBdr>
        <w:top w:val="none" w:sz="0" w:space="0" w:color="auto"/>
        <w:left w:val="none" w:sz="0" w:space="0" w:color="auto"/>
        <w:bottom w:val="none" w:sz="0" w:space="0" w:color="auto"/>
        <w:right w:val="none" w:sz="0" w:space="0" w:color="auto"/>
      </w:divBdr>
    </w:div>
    <w:div w:id="1124690592">
      <w:bodyDiv w:val="1"/>
      <w:marLeft w:val="0"/>
      <w:marRight w:val="0"/>
      <w:marTop w:val="0"/>
      <w:marBottom w:val="0"/>
      <w:divBdr>
        <w:top w:val="none" w:sz="0" w:space="0" w:color="auto"/>
        <w:left w:val="none" w:sz="0" w:space="0" w:color="auto"/>
        <w:bottom w:val="none" w:sz="0" w:space="0" w:color="auto"/>
        <w:right w:val="none" w:sz="0" w:space="0" w:color="auto"/>
      </w:divBdr>
    </w:div>
    <w:div w:id="1137843569">
      <w:bodyDiv w:val="1"/>
      <w:marLeft w:val="0"/>
      <w:marRight w:val="0"/>
      <w:marTop w:val="0"/>
      <w:marBottom w:val="0"/>
      <w:divBdr>
        <w:top w:val="none" w:sz="0" w:space="0" w:color="auto"/>
        <w:left w:val="none" w:sz="0" w:space="0" w:color="auto"/>
        <w:bottom w:val="none" w:sz="0" w:space="0" w:color="auto"/>
        <w:right w:val="none" w:sz="0" w:space="0" w:color="auto"/>
      </w:divBdr>
    </w:div>
    <w:div w:id="1311590512">
      <w:bodyDiv w:val="1"/>
      <w:marLeft w:val="0"/>
      <w:marRight w:val="0"/>
      <w:marTop w:val="0"/>
      <w:marBottom w:val="0"/>
      <w:divBdr>
        <w:top w:val="none" w:sz="0" w:space="0" w:color="auto"/>
        <w:left w:val="none" w:sz="0" w:space="0" w:color="auto"/>
        <w:bottom w:val="none" w:sz="0" w:space="0" w:color="auto"/>
        <w:right w:val="none" w:sz="0" w:space="0" w:color="auto"/>
      </w:divBdr>
    </w:div>
    <w:div w:id="1348022032">
      <w:bodyDiv w:val="1"/>
      <w:marLeft w:val="0"/>
      <w:marRight w:val="0"/>
      <w:marTop w:val="0"/>
      <w:marBottom w:val="0"/>
      <w:divBdr>
        <w:top w:val="none" w:sz="0" w:space="0" w:color="auto"/>
        <w:left w:val="none" w:sz="0" w:space="0" w:color="auto"/>
        <w:bottom w:val="none" w:sz="0" w:space="0" w:color="auto"/>
        <w:right w:val="none" w:sz="0" w:space="0" w:color="auto"/>
      </w:divBdr>
    </w:div>
    <w:div w:id="1351568516">
      <w:bodyDiv w:val="1"/>
      <w:marLeft w:val="0"/>
      <w:marRight w:val="0"/>
      <w:marTop w:val="0"/>
      <w:marBottom w:val="0"/>
      <w:divBdr>
        <w:top w:val="none" w:sz="0" w:space="0" w:color="auto"/>
        <w:left w:val="none" w:sz="0" w:space="0" w:color="auto"/>
        <w:bottom w:val="none" w:sz="0" w:space="0" w:color="auto"/>
        <w:right w:val="none" w:sz="0" w:space="0" w:color="auto"/>
      </w:divBdr>
    </w:div>
    <w:div w:id="1565138114">
      <w:bodyDiv w:val="1"/>
      <w:marLeft w:val="0"/>
      <w:marRight w:val="0"/>
      <w:marTop w:val="0"/>
      <w:marBottom w:val="0"/>
      <w:divBdr>
        <w:top w:val="none" w:sz="0" w:space="0" w:color="auto"/>
        <w:left w:val="none" w:sz="0" w:space="0" w:color="auto"/>
        <w:bottom w:val="none" w:sz="0" w:space="0" w:color="auto"/>
        <w:right w:val="none" w:sz="0" w:space="0" w:color="auto"/>
      </w:divBdr>
    </w:div>
    <w:div w:id="1578712483">
      <w:bodyDiv w:val="1"/>
      <w:marLeft w:val="0"/>
      <w:marRight w:val="0"/>
      <w:marTop w:val="0"/>
      <w:marBottom w:val="0"/>
      <w:divBdr>
        <w:top w:val="none" w:sz="0" w:space="0" w:color="auto"/>
        <w:left w:val="none" w:sz="0" w:space="0" w:color="auto"/>
        <w:bottom w:val="none" w:sz="0" w:space="0" w:color="auto"/>
        <w:right w:val="none" w:sz="0" w:space="0" w:color="auto"/>
      </w:divBdr>
    </w:div>
    <w:div w:id="1715615468">
      <w:bodyDiv w:val="1"/>
      <w:marLeft w:val="0"/>
      <w:marRight w:val="0"/>
      <w:marTop w:val="0"/>
      <w:marBottom w:val="0"/>
      <w:divBdr>
        <w:top w:val="none" w:sz="0" w:space="0" w:color="auto"/>
        <w:left w:val="none" w:sz="0" w:space="0" w:color="auto"/>
        <w:bottom w:val="none" w:sz="0" w:space="0" w:color="auto"/>
        <w:right w:val="none" w:sz="0" w:space="0" w:color="auto"/>
      </w:divBdr>
    </w:div>
    <w:div w:id="1738897434">
      <w:bodyDiv w:val="1"/>
      <w:marLeft w:val="0"/>
      <w:marRight w:val="0"/>
      <w:marTop w:val="0"/>
      <w:marBottom w:val="0"/>
      <w:divBdr>
        <w:top w:val="none" w:sz="0" w:space="0" w:color="auto"/>
        <w:left w:val="none" w:sz="0" w:space="0" w:color="auto"/>
        <w:bottom w:val="none" w:sz="0" w:space="0" w:color="auto"/>
        <w:right w:val="none" w:sz="0" w:space="0" w:color="auto"/>
      </w:divBdr>
    </w:div>
    <w:div w:id="200083875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 w:id="214342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fifhh5vo/complaints-about-the-police-sop.pdf"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1509</Words>
  <Characters>8605</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2025-12-23T17:07:00Z</dcterms:created>
  <dcterms:modified xsi:type="dcterms:W3CDTF">2025-12-23T17:07:00Z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