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8670246" w:rsidR="00B17211" w:rsidRPr="00B17211" w:rsidRDefault="00B17211" w:rsidP="007F490F">
            <w:r w:rsidRPr="007F490F">
              <w:rPr>
                <w:rStyle w:val="Heading2Char"/>
              </w:rPr>
              <w:t>Our reference:</w:t>
            </w:r>
            <w:r>
              <w:t xml:space="preserve">  FOI 2</w:t>
            </w:r>
            <w:r w:rsidR="00EF0FBB">
              <w:t>5</w:t>
            </w:r>
            <w:r>
              <w:t>-</w:t>
            </w:r>
            <w:r w:rsidR="00DD4EC9">
              <w:t>3383</w:t>
            </w:r>
          </w:p>
          <w:p w14:paraId="34BDABA6" w14:textId="746F28C9" w:rsidR="00B17211" w:rsidRDefault="00456324" w:rsidP="00EE2373">
            <w:r w:rsidRPr="007F490F">
              <w:rPr>
                <w:rStyle w:val="Heading2Char"/>
              </w:rPr>
              <w:t>Respon</w:t>
            </w:r>
            <w:r w:rsidR="007D55F6">
              <w:rPr>
                <w:rStyle w:val="Heading2Char"/>
              </w:rPr>
              <w:t>ded to:</w:t>
            </w:r>
            <w:r w:rsidR="007F490F">
              <w:t xml:space="preserve">  </w:t>
            </w:r>
            <w:r w:rsidR="006274A0">
              <w:t>12</w:t>
            </w:r>
            <w:r w:rsidR="006D5799">
              <w:t xml:space="preserve"> </w:t>
            </w:r>
            <w:r w:rsidR="00DD4EC9">
              <w:t>Nov</w:t>
            </w:r>
            <w:r w:rsidR="0034364D">
              <w: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568FB6F1" w14:textId="7E318471" w:rsidR="00DD4EC9" w:rsidRPr="00DD4EC9" w:rsidRDefault="00DD4EC9" w:rsidP="00DD4EC9">
      <w:pPr>
        <w:pStyle w:val="Heading2"/>
      </w:pPr>
      <w:r w:rsidRPr="00DD4EC9">
        <w:t>1.</w:t>
      </w:r>
      <w:r>
        <w:t xml:space="preserve"> </w:t>
      </w:r>
      <w:r w:rsidRPr="00DD4EC9">
        <w:t>Has Police Scotland conducted visits to individuals concerning their arrest in connection with the Terrorism Act (2000) and support for Palestine Action, outside of standard daytime hours (e.g., during the night)?</w:t>
      </w:r>
    </w:p>
    <w:p w14:paraId="626A29EB" w14:textId="02BCE948" w:rsidR="00DD4EC9" w:rsidRDefault="00DD4EC9" w:rsidP="00DD4EC9">
      <w:pPr>
        <w:pStyle w:val="Heading2"/>
      </w:pPr>
      <w:r w:rsidRPr="00DD4EC9">
        <w:t>2.</w:t>
      </w:r>
      <w:r>
        <w:t xml:space="preserve"> </w:t>
      </w:r>
      <w:r w:rsidRPr="00DD4EC9">
        <w:t>If so, how many such visits have taken place since the proscription of Palestine Action on 5 July 2025?</w:t>
      </w:r>
    </w:p>
    <w:p w14:paraId="0785E000" w14:textId="78111BD0" w:rsidR="00447B65" w:rsidRDefault="00447B65" w:rsidP="00447B65">
      <w:r>
        <w:t>Unfortunately, I estimate that it would cost well in excess of the current FOI cost threshold of £600 to process this part of your request.  I am therefore refusing to provide the information sought in terms of section 12(1) of the Act - Excessive Cost of Compliance.</w:t>
      </w:r>
    </w:p>
    <w:p w14:paraId="5216BA58" w14:textId="5BC84B66" w:rsidR="00447B65" w:rsidRDefault="00447B65" w:rsidP="00447B65">
      <w:r>
        <w:t xml:space="preserve">To explain, we have no means of extracting this information from </w:t>
      </w:r>
      <w:r w:rsidR="004948C1">
        <w:t xml:space="preserve">the relevant </w:t>
      </w:r>
      <w:r>
        <w:t>system</w:t>
      </w:r>
      <w:r w:rsidR="004948C1">
        <w:t>s</w:t>
      </w:r>
      <w:r>
        <w:t xml:space="preserve">.  Researching your request would therefore require the individual assessment of all </w:t>
      </w:r>
      <w:r w:rsidR="004948C1">
        <w:t xml:space="preserve">documentation to establish the times of visits to addresses. </w:t>
      </w:r>
    </w:p>
    <w:p w14:paraId="1A9B85AD" w14:textId="77777777" w:rsidR="00B50BE0" w:rsidRPr="00447B65" w:rsidRDefault="00B50BE0" w:rsidP="00447B65"/>
    <w:p w14:paraId="1DD70B91" w14:textId="3C5FCAB6" w:rsidR="00DD4EC9" w:rsidRPr="00DD4EC9" w:rsidRDefault="00DD4EC9" w:rsidP="00DD4EC9">
      <w:pPr>
        <w:pStyle w:val="Heading2"/>
      </w:pPr>
      <w:r w:rsidRPr="00DD4EC9">
        <w:t>3.</w:t>
      </w:r>
      <w:r>
        <w:t xml:space="preserve"> </w:t>
      </w:r>
      <w:r w:rsidRPr="00DD4EC9">
        <w:t xml:space="preserve">Was </w:t>
      </w:r>
      <w:r>
        <w:t xml:space="preserve">******** </w:t>
      </w:r>
      <w:r w:rsidRPr="00DD4EC9">
        <w:t>visited outside of standard daytime hours (e.g. during the night) concerning her arrest in connection with the Terrorism Act (2000) and her support of Palestine Action?</w:t>
      </w:r>
    </w:p>
    <w:p w14:paraId="274E6DE8" w14:textId="77777777" w:rsidR="00DD4EC9" w:rsidRDefault="00DD4EC9" w:rsidP="00DD4EC9">
      <w:pPr>
        <w:pStyle w:val="Heading2"/>
      </w:pPr>
      <w:r w:rsidRPr="00DD4EC9">
        <w:t>4.</w:t>
      </w:r>
      <w:r>
        <w:t xml:space="preserve"> </w:t>
      </w:r>
      <w:r w:rsidRPr="00DD4EC9">
        <w:t>If so, why did this action take place in the night and not during standard daytime hours?</w:t>
      </w:r>
    </w:p>
    <w:p w14:paraId="1F1E5D21" w14:textId="74B7C4A9" w:rsidR="00DD4EC9" w:rsidRDefault="0042799D" w:rsidP="0042799D">
      <w:r w:rsidRPr="0042799D">
        <w:t>The information sought is held by Police Scotland, but I am refusing to provide it in terms of section 16(1) of the Act on the basis that the following exemption appl</w:t>
      </w:r>
      <w:r>
        <w:t>ies</w:t>
      </w:r>
      <w:r w:rsidRPr="0042799D">
        <w:t>:</w:t>
      </w:r>
    </w:p>
    <w:p w14:paraId="6E62655E" w14:textId="77777777" w:rsidR="0042799D" w:rsidRPr="0042799D" w:rsidRDefault="0042799D" w:rsidP="0042799D">
      <w:pPr>
        <w:tabs>
          <w:tab w:val="left" w:pos="5400"/>
        </w:tabs>
        <w:rPr>
          <w:b/>
          <w:bCs/>
        </w:rPr>
      </w:pPr>
      <w:r w:rsidRPr="0042799D">
        <w:rPr>
          <w:b/>
          <w:bCs/>
        </w:rPr>
        <w:t>Section 38(1)(b) - Personal Data</w:t>
      </w:r>
    </w:p>
    <w:p w14:paraId="4FD7A987" w14:textId="77777777" w:rsidR="0042799D" w:rsidRDefault="0042799D" w:rsidP="0042799D">
      <w:pPr>
        <w:tabs>
          <w:tab w:val="left" w:pos="5400"/>
        </w:tabs>
      </w:pPr>
      <w:r>
        <w:t>Personal data is defined in Article 4 of the General Data Protection Regulation (GDPR) as:</w:t>
      </w:r>
    </w:p>
    <w:p w14:paraId="1F8F8CEB" w14:textId="77777777" w:rsidR="0042799D" w:rsidRDefault="0042799D" w:rsidP="0042799D">
      <w:pPr>
        <w:tabs>
          <w:tab w:val="left" w:pos="5400"/>
        </w:tabs>
      </w:pPr>
      <w:r>
        <w:t xml:space="preserve">‘Information relating to an identified or identifiable natural person (“data subject”); an identifiable natural person is one who can be identified, directly or indirectly, in particular by reference to an identifier such as a name, an identification number, location data, an </w:t>
      </w:r>
      <w:r>
        <w:lastRenderedPageBreak/>
        <w:t>online identifier or to one or more factors specific to the physical, physiological, genetic, mental, economic, cultural or social identity of that natural person’</w:t>
      </w:r>
    </w:p>
    <w:p w14:paraId="611DC3EC" w14:textId="77777777" w:rsidR="0042799D" w:rsidRDefault="0042799D" w:rsidP="0042799D">
      <w:pPr>
        <w:tabs>
          <w:tab w:val="left" w:pos="5400"/>
        </w:tabs>
      </w:pPr>
      <w:r>
        <w:t>Section 38(2A) of the Act provides that personal data is exempt from disclosure where disclosure would contravene any of the data protection principles set out at Article 5(1) of the GDPR which states that:</w:t>
      </w:r>
    </w:p>
    <w:p w14:paraId="4DF2298C" w14:textId="77777777" w:rsidR="0042799D" w:rsidRDefault="0042799D" w:rsidP="0042799D">
      <w:pPr>
        <w:tabs>
          <w:tab w:val="left" w:pos="5400"/>
        </w:tabs>
      </w:pPr>
      <w:r>
        <w:t>‘Personal data shall be processed lawfully, fairly and in a transparent manner in relation to the data subject’</w:t>
      </w:r>
    </w:p>
    <w:p w14:paraId="5E30C084" w14:textId="77777777" w:rsidR="0042799D" w:rsidRDefault="0042799D" w:rsidP="0042799D">
      <w:pPr>
        <w:tabs>
          <w:tab w:val="left" w:pos="5400"/>
        </w:tabs>
      </w:pPr>
      <w:r>
        <w:t>Article 6 of the GDPR goes on to state that processing shall be lawful only if certain conditions are met.</w:t>
      </w:r>
    </w:p>
    <w:p w14:paraId="0F566DEF" w14:textId="77777777" w:rsidR="0042799D" w:rsidRDefault="0042799D" w:rsidP="0042799D">
      <w:pPr>
        <w:tabs>
          <w:tab w:val="left" w:pos="5400"/>
        </w:tabs>
      </w:pPr>
      <w:r>
        <w:t xml:space="preserve">The only potentially applicable condition is set out at Article 6(1)(f) which states: ‘Processing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
    <w:p w14:paraId="1F35443E" w14:textId="502DDA3C" w:rsidR="00EF0FBB" w:rsidRDefault="0042799D" w:rsidP="0042799D">
      <w:pPr>
        <w:tabs>
          <w:tab w:val="left" w:pos="5400"/>
        </w:tabs>
      </w:pPr>
      <w:r>
        <w:t xml:space="preserve">Whilst I accept that you may have a legitimate interest with regards the disclosure of </w:t>
      </w:r>
      <w:r w:rsidR="00656C7F">
        <w:t>this information</w:t>
      </w:r>
      <w:r>
        <w:t>, I am nonetheless of the view that those interests are overridden by the interests or fundamental rights and freedoms of the data subject(s). On that basis, it is my view that disclosure of the information sought would be unlawful.</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AA911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03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714D4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03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02BE44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03B9">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D9FE1E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03B9">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A4715D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03B9">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31466D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3003B9">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5960"/>
    <w:rsid w:val="00090F3B"/>
    <w:rsid w:val="000E2F19"/>
    <w:rsid w:val="000E6526"/>
    <w:rsid w:val="001160E2"/>
    <w:rsid w:val="00141533"/>
    <w:rsid w:val="00167528"/>
    <w:rsid w:val="00195CC4"/>
    <w:rsid w:val="001A1178"/>
    <w:rsid w:val="001F2261"/>
    <w:rsid w:val="00207326"/>
    <w:rsid w:val="00253DF6"/>
    <w:rsid w:val="00255F1E"/>
    <w:rsid w:val="003003B9"/>
    <w:rsid w:val="0034364D"/>
    <w:rsid w:val="0036503B"/>
    <w:rsid w:val="00375AA0"/>
    <w:rsid w:val="00376A4A"/>
    <w:rsid w:val="00381234"/>
    <w:rsid w:val="003D6D03"/>
    <w:rsid w:val="003E12CA"/>
    <w:rsid w:val="004010DC"/>
    <w:rsid w:val="0042799D"/>
    <w:rsid w:val="004341F0"/>
    <w:rsid w:val="00446221"/>
    <w:rsid w:val="00447B65"/>
    <w:rsid w:val="00456324"/>
    <w:rsid w:val="00475460"/>
    <w:rsid w:val="00490317"/>
    <w:rsid w:val="00491644"/>
    <w:rsid w:val="004948C1"/>
    <w:rsid w:val="00496A08"/>
    <w:rsid w:val="004E1605"/>
    <w:rsid w:val="004F653C"/>
    <w:rsid w:val="00540A52"/>
    <w:rsid w:val="00557306"/>
    <w:rsid w:val="005E161A"/>
    <w:rsid w:val="006274A0"/>
    <w:rsid w:val="00645CFA"/>
    <w:rsid w:val="00656C7F"/>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50BE0"/>
    <w:rsid w:val="00B62A7F"/>
    <w:rsid w:val="00B654B6"/>
    <w:rsid w:val="00B71B3C"/>
    <w:rsid w:val="00BA7432"/>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D4EC9"/>
    <w:rsid w:val="00E55D79"/>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openxmlformats.org/package/2006/metadata/core-properties"/>
    <ds:schemaRef ds:uri="http://purl.org/dc/terms/"/>
    <ds:schemaRef ds:uri="0e32d40b-a8f5-4c24-a46b-b72b5f0b9b52"/>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642</Words>
  <Characters>3662</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2025-11-12T09:49:00Z</cp:lastPrinted>
  <dcterms:created xsi:type="dcterms:W3CDTF">2024-01-26T13:56:00Z</dcterms:created>
  <dcterms:modified xsi:type="dcterms:W3CDTF">2025-11-12T10:16:00Z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