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668AB">
              <w:t>0813</w:t>
            </w:r>
          </w:p>
          <w:p w:rsidR="00B17211" w:rsidRDefault="00456324" w:rsidP="00F668AB">
            <w:r w:rsidRPr="007F490F">
              <w:rPr>
                <w:rStyle w:val="Heading2Char"/>
              </w:rPr>
              <w:t>Respon</w:t>
            </w:r>
            <w:r w:rsidR="007D55F6">
              <w:rPr>
                <w:rStyle w:val="Heading2Char"/>
              </w:rPr>
              <w:t>ded to:</w:t>
            </w:r>
            <w:r w:rsidR="007F490F">
              <w:t xml:space="preserve">  </w:t>
            </w:r>
            <w:r w:rsidR="00F668AB">
              <w:t>19</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76158" w:rsidRDefault="00376158" w:rsidP="00376158">
      <w:pPr>
        <w:pStyle w:val="Heading2"/>
        <w:rPr>
          <w:rFonts w:eastAsia="Times New Roman"/>
        </w:rPr>
      </w:pPr>
      <w:r>
        <w:rPr>
          <w:rFonts w:eastAsia="Times New Roman"/>
        </w:rPr>
        <w:t>Can I please request information on the number offences carried out by cyclists in the last 3 years for</w:t>
      </w:r>
    </w:p>
    <w:p w:rsidR="00376158" w:rsidRDefault="00376158" w:rsidP="00376158">
      <w:pPr>
        <w:pStyle w:val="Heading2"/>
        <w:rPr>
          <w:rFonts w:eastAsia="Times New Roman"/>
        </w:rPr>
      </w:pPr>
      <w:r>
        <w:rPr>
          <w:rFonts w:eastAsia="Times New Roman"/>
        </w:rPr>
        <w:t>1/ no lights</w:t>
      </w:r>
    </w:p>
    <w:p w:rsidR="00376158" w:rsidRDefault="00376158" w:rsidP="00376158">
      <w:pPr>
        <w:pStyle w:val="Heading2"/>
        <w:rPr>
          <w:rFonts w:eastAsia="Times New Roman"/>
        </w:rPr>
      </w:pPr>
      <w:r>
        <w:rPr>
          <w:rFonts w:eastAsia="Times New Roman"/>
        </w:rPr>
        <w:t xml:space="preserve">2/cycling on pavement </w:t>
      </w:r>
    </w:p>
    <w:p w:rsidR="00376158" w:rsidRDefault="00376158" w:rsidP="00376158">
      <w:pPr>
        <w:pStyle w:val="Heading2"/>
        <w:rPr>
          <w:rFonts w:eastAsia="Times New Roman"/>
        </w:rPr>
      </w:pPr>
      <w:r>
        <w:rPr>
          <w:rFonts w:eastAsia="Times New Roman"/>
        </w:rPr>
        <w:t>3/going thru red lights</w:t>
      </w:r>
    </w:p>
    <w:p w:rsidR="00AF40D6" w:rsidRPr="00A76BDA" w:rsidRDefault="00AF40D6" w:rsidP="00AF40D6">
      <w:r w:rsidRPr="00A76BDA">
        <w:t>In response to your request, I regret to inform you that I am unable to provide you with the information you have requested, as it would prove too costly to do so within the context of the fee regulations.</w:t>
      </w:r>
    </w:p>
    <w:p w:rsidR="00AF40D6" w:rsidRPr="00A76BDA" w:rsidRDefault="00AF40D6" w:rsidP="00AF40D6">
      <w:r w:rsidRPr="00A76BDA">
        <w:t>As you may be aware the current cost threshold is £600 and I estimate that it would cost well in excess of this amount to process your request.</w:t>
      </w:r>
    </w:p>
    <w:p w:rsidR="00AF40D6" w:rsidRPr="00A76BDA" w:rsidRDefault="00AF40D6" w:rsidP="00AF40D6">
      <w:r w:rsidRPr="00A76BDA">
        <w:t>As such, and in terms of Section 16(4) of the Freedom of Information (Scotland) Act 2002 where Section 12(1) of the Act (Excessive Cost of Compliance) has been applied, this represents a refusal notice for the information sought.</w:t>
      </w:r>
    </w:p>
    <w:p w:rsidR="00BE0A44" w:rsidRDefault="00AF40D6" w:rsidP="00AF40D6">
      <w:r w:rsidRPr="00425386">
        <w:t>By way of explanation, there is no specific crime</w:t>
      </w:r>
      <w:r w:rsidR="00AB2F00">
        <w:t xml:space="preserve">/classification code for </w:t>
      </w:r>
      <w:r w:rsidR="00BE0A44">
        <w:t>the offences you have requested, they are included under the more broad offences such as:</w:t>
      </w:r>
    </w:p>
    <w:p w:rsidR="00BE0A44" w:rsidRDefault="00BE0A44" w:rsidP="00BE0A44">
      <w:pPr>
        <w:pStyle w:val="ListParagraph"/>
        <w:numPr>
          <w:ilvl w:val="0"/>
          <w:numId w:val="2"/>
        </w:numPr>
      </w:pPr>
      <w:r>
        <w:t>Dangerously riding a bicycle or tricycle</w:t>
      </w:r>
    </w:p>
    <w:p w:rsidR="00BE0A44" w:rsidRDefault="00BE0A44" w:rsidP="00BE0A44">
      <w:pPr>
        <w:pStyle w:val="ListParagraph"/>
        <w:numPr>
          <w:ilvl w:val="0"/>
          <w:numId w:val="2"/>
        </w:numPr>
      </w:pPr>
      <w:r>
        <w:t>Carelessly or inconsiderately riding a bicycle or tricycle</w:t>
      </w:r>
    </w:p>
    <w:p w:rsidR="00BE0A44" w:rsidRDefault="00BE0A44" w:rsidP="00BE0A44">
      <w:pPr>
        <w:pStyle w:val="ListParagraph"/>
        <w:numPr>
          <w:ilvl w:val="0"/>
          <w:numId w:val="2"/>
        </w:numPr>
      </w:pPr>
      <w:r>
        <w:t>Drunk when riding a bicycle</w:t>
      </w:r>
    </w:p>
    <w:p w:rsidR="00BE0A44" w:rsidRDefault="00BE0A44" w:rsidP="0046485D">
      <w:pPr>
        <w:pStyle w:val="ListParagraph"/>
        <w:numPr>
          <w:ilvl w:val="0"/>
          <w:numId w:val="2"/>
        </w:numPr>
      </w:pPr>
      <w:r>
        <w:t>Bicycles, other offences</w:t>
      </w:r>
    </w:p>
    <w:p w:rsidR="00425386" w:rsidRDefault="00BE0A44" w:rsidP="00AF40D6">
      <w:r>
        <w:t xml:space="preserve">In order to determine whether the offences recorded under the categories related specifically to the offences you have requested, we would need to manually review each offence.  In this case this equates to </w:t>
      </w:r>
      <w:r w:rsidR="00E538A9" w:rsidRPr="00425386">
        <w:t xml:space="preserve">536 offences. </w:t>
      </w:r>
      <w:r>
        <w:t>At a conservative</w:t>
      </w:r>
      <w:r w:rsidR="00E538A9" w:rsidRPr="00425386">
        <w:t xml:space="preserve"> estimate of </w:t>
      </w:r>
      <w:r w:rsidR="00425386" w:rsidRPr="00425386">
        <w:t xml:space="preserve">5 minutes </w:t>
      </w:r>
      <w:r>
        <w:t>to examine each record</w:t>
      </w:r>
      <w:bookmarkStart w:id="0" w:name="_GoBack"/>
      <w:bookmarkEnd w:id="0"/>
      <w:r w:rsidR="00425386" w:rsidRPr="00425386">
        <w:t xml:space="preserve"> this equates to an excess of 44 hours </w:t>
      </w:r>
      <w:r>
        <w:t>of work to retrieve the information requested.</w:t>
      </w:r>
      <w:r w:rsidR="00425386" w:rsidRPr="00425386">
        <w:t xml:space="preserve">  </w:t>
      </w:r>
    </w:p>
    <w:p w:rsidR="00AF40D6" w:rsidRPr="00A76BDA" w:rsidRDefault="00AF40D6" w:rsidP="00AF40D6">
      <w:r w:rsidRPr="00A76BDA">
        <w:lastRenderedPageBreak/>
        <w:t>Police Scotland have assessed that the £600 cost limit within the Act equates to 40 hours of work and so this part of your request would breach the cost threshold.</w:t>
      </w:r>
    </w:p>
    <w:p w:rsidR="00794209" w:rsidRDefault="00794209" w:rsidP="00794209">
      <w:r>
        <w:t xml:space="preserve">To be of assistance I have provided the table below detailing </w:t>
      </w:r>
      <w:r w:rsidR="00BE0A44">
        <w:t xml:space="preserve">the broader offences noted above.  </w:t>
      </w:r>
      <w:r w:rsidR="00AB2F00">
        <w:t>Please note the caveats at the bottom of the table.</w:t>
      </w:r>
    </w:p>
    <w:p w:rsidR="00BE0A44" w:rsidRDefault="00BE0A44" w:rsidP="00794209">
      <w:r>
        <w:t xml:space="preserve">I can also confirm that 101 </w:t>
      </w:r>
      <w:r w:rsidRPr="00BE0A44">
        <w:t xml:space="preserve">Fixed Penalty Notices (FPN) were issued </w:t>
      </w:r>
      <w:r>
        <w:t xml:space="preserve">specifically in relation to </w:t>
      </w:r>
      <w:r w:rsidRPr="00BE0A44">
        <w:t>the offence “Not Obeying Red Tr</w:t>
      </w:r>
      <w:r>
        <w:t xml:space="preserve">affic Light no motor vehicle / </w:t>
      </w:r>
      <w:r w:rsidRPr="00BE0A44">
        <w:t>Failure to comply with traffic sign – pedal Cycle</w:t>
      </w:r>
      <w:r>
        <w:t>”.  There are no specific Fixed Penalty Notice offences for not having lights or cycling over the pavement.</w:t>
      </w:r>
    </w:p>
    <w:p w:rsidR="00BE0A44" w:rsidRPr="00425386" w:rsidRDefault="00BE0A44" w:rsidP="00794209">
      <w:r>
        <w:t>You may wish to consider reducing the timescale or area your request covers which would reduce the amount of time required to manually review the records.</w:t>
      </w:r>
    </w:p>
    <w:p w:rsidR="00794209" w:rsidRDefault="00794209" w:rsidP="00BE0A44">
      <w:pPr>
        <w:pStyle w:val="Heading2"/>
      </w:pPr>
      <w:r>
        <w:t>Recorded Cycling Related Crimes within Police Scotland between 01 January 2019 and 31 December 2022.</w:t>
      </w:r>
    </w:p>
    <w:tbl>
      <w:tblPr>
        <w:tblStyle w:val="TableGrid"/>
        <w:tblW w:w="9540" w:type="dxa"/>
        <w:tblLook w:val="04A0" w:firstRow="1" w:lastRow="0" w:firstColumn="1" w:lastColumn="0" w:noHBand="0" w:noVBand="1"/>
        <w:tblCaption w:val="Recorded Cycling Related Crimes within Police Scotland between 01 January 2019 and 31 December 2022."/>
        <w:tblDescription w:val="Recorded Cycling Related Crimes within Police Scotland between 01 January 2019 and 31 December 2022."/>
      </w:tblPr>
      <w:tblGrid>
        <w:gridCol w:w="2206"/>
        <w:gridCol w:w="3714"/>
        <w:gridCol w:w="905"/>
        <w:gridCol w:w="905"/>
        <w:gridCol w:w="905"/>
        <w:gridCol w:w="905"/>
      </w:tblGrid>
      <w:tr w:rsidR="00D01541" w:rsidRPr="00D01541" w:rsidTr="0047765B">
        <w:trPr>
          <w:trHeight w:val="313"/>
          <w:tblHeader/>
        </w:trPr>
        <w:tc>
          <w:tcPr>
            <w:tcW w:w="2206" w:type="dxa"/>
            <w:shd w:val="clear" w:color="auto" w:fill="D9D9D9" w:themeFill="background1" w:themeFillShade="D9"/>
            <w:hideMark/>
          </w:tcPr>
          <w:p w:rsidR="00D01541" w:rsidRPr="00D01541" w:rsidRDefault="00D01541" w:rsidP="00D01541">
            <w:pPr>
              <w:spacing w:before="0" w:after="0" w:line="240" w:lineRule="auto"/>
              <w:rPr>
                <w:rFonts w:eastAsia="Times New Roman"/>
                <w:b/>
                <w:bCs/>
                <w:color w:val="000000"/>
                <w:lang w:eastAsia="en-GB"/>
              </w:rPr>
            </w:pPr>
            <w:r w:rsidRPr="00D01541">
              <w:rPr>
                <w:rFonts w:eastAsia="Times New Roman"/>
                <w:b/>
                <w:bCs/>
                <w:color w:val="000000"/>
                <w:lang w:eastAsia="en-GB"/>
              </w:rPr>
              <w:t>Division</w:t>
            </w:r>
          </w:p>
        </w:tc>
        <w:tc>
          <w:tcPr>
            <w:tcW w:w="3714" w:type="dxa"/>
            <w:shd w:val="clear" w:color="auto" w:fill="D9D9D9" w:themeFill="background1" w:themeFillShade="D9"/>
            <w:hideMark/>
          </w:tcPr>
          <w:p w:rsidR="00D01541" w:rsidRPr="00D01541" w:rsidRDefault="00D01541" w:rsidP="00D01541">
            <w:pPr>
              <w:spacing w:before="0" w:after="0" w:line="240" w:lineRule="auto"/>
              <w:rPr>
                <w:rFonts w:eastAsia="Times New Roman"/>
                <w:b/>
                <w:bCs/>
                <w:color w:val="000000"/>
                <w:lang w:eastAsia="en-GB"/>
              </w:rPr>
            </w:pPr>
            <w:r w:rsidRPr="00D01541">
              <w:rPr>
                <w:rFonts w:eastAsia="Times New Roman"/>
                <w:b/>
                <w:bCs/>
                <w:color w:val="000000"/>
                <w:lang w:eastAsia="en-GB"/>
              </w:rPr>
              <w:t>Crime/Offence</w:t>
            </w:r>
          </w:p>
        </w:tc>
        <w:tc>
          <w:tcPr>
            <w:tcW w:w="905" w:type="dxa"/>
            <w:shd w:val="clear" w:color="auto" w:fill="D9D9D9" w:themeFill="background1" w:themeFillShade="D9"/>
            <w:hideMark/>
          </w:tcPr>
          <w:p w:rsidR="00D01541" w:rsidRPr="00D01541" w:rsidRDefault="00D01541" w:rsidP="00D01541">
            <w:pPr>
              <w:spacing w:before="0" w:after="0" w:line="240" w:lineRule="auto"/>
              <w:jc w:val="center"/>
              <w:rPr>
                <w:rFonts w:eastAsia="Times New Roman"/>
                <w:b/>
                <w:bCs/>
                <w:color w:val="000000"/>
                <w:lang w:eastAsia="en-GB"/>
              </w:rPr>
            </w:pPr>
            <w:r w:rsidRPr="00D01541">
              <w:rPr>
                <w:rFonts w:eastAsia="Times New Roman"/>
                <w:b/>
                <w:bCs/>
                <w:color w:val="000000"/>
                <w:lang w:eastAsia="en-GB"/>
              </w:rPr>
              <w:t>2019</w:t>
            </w:r>
          </w:p>
        </w:tc>
        <w:tc>
          <w:tcPr>
            <w:tcW w:w="905" w:type="dxa"/>
            <w:shd w:val="clear" w:color="auto" w:fill="D9D9D9" w:themeFill="background1" w:themeFillShade="D9"/>
            <w:hideMark/>
          </w:tcPr>
          <w:p w:rsidR="00D01541" w:rsidRPr="00D01541" w:rsidRDefault="00D01541" w:rsidP="00D01541">
            <w:pPr>
              <w:spacing w:before="0" w:after="0" w:line="240" w:lineRule="auto"/>
              <w:jc w:val="center"/>
              <w:rPr>
                <w:rFonts w:eastAsia="Times New Roman"/>
                <w:b/>
                <w:bCs/>
                <w:color w:val="000000"/>
                <w:lang w:eastAsia="en-GB"/>
              </w:rPr>
            </w:pPr>
            <w:r w:rsidRPr="00D01541">
              <w:rPr>
                <w:rFonts w:eastAsia="Times New Roman"/>
                <w:b/>
                <w:bCs/>
                <w:color w:val="000000"/>
                <w:lang w:eastAsia="en-GB"/>
              </w:rPr>
              <w:t>2020</w:t>
            </w:r>
          </w:p>
        </w:tc>
        <w:tc>
          <w:tcPr>
            <w:tcW w:w="905" w:type="dxa"/>
            <w:shd w:val="clear" w:color="auto" w:fill="D9D9D9" w:themeFill="background1" w:themeFillShade="D9"/>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2021</w:t>
            </w:r>
          </w:p>
        </w:tc>
        <w:tc>
          <w:tcPr>
            <w:tcW w:w="905" w:type="dxa"/>
            <w:shd w:val="clear" w:color="auto" w:fill="D9D9D9" w:themeFill="background1" w:themeFillShade="D9"/>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2022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North East</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BE0A44">
            <w:pPr>
              <w:spacing w:before="0" w:after="0" w:line="240" w:lineRule="auto"/>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7</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7</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Tayside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Highland and Islands</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4</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Forth Valley</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Edinburgh</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5</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3</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lastRenderedPageBreak/>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8</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Lothian and Borders</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8</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4</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Fife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Greater Glasgow</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15</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17</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19</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9</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28</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17</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6</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Ayrshire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Lanarkshire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6</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3</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4</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2</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Argyll and West Dunbartonshire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5</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Renfrewshire and Inverclyde</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2</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3</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Drunk when riding a bicycle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 </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6</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Dumfries and Galloway</w:t>
            </w: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Dangerously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Carelessly or inconsiderately riding a bicycle or tricycle</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1</w:t>
            </w:r>
          </w:p>
        </w:tc>
      </w:tr>
      <w:tr w:rsidR="00D01541" w:rsidRPr="00D01541" w:rsidTr="0047765B">
        <w:trPr>
          <w:trHeight w:val="298"/>
        </w:trPr>
        <w:tc>
          <w:tcPr>
            <w:tcW w:w="2206" w:type="dxa"/>
            <w:noWrap/>
            <w:hideMark/>
          </w:tcPr>
          <w:p w:rsidR="00D01541" w:rsidRPr="00D01541" w:rsidRDefault="00D01541" w:rsidP="00D01541">
            <w:pPr>
              <w:spacing w:before="0" w:after="0" w:line="240" w:lineRule="auto"/>
              <w:jc w:val="center"/>
              <w:rPr>
                <w:rFonts w:eastAsia="Times New Roman"/>
                <w:lang w:eastAsia="en-GB"/>
              </w:rPr>
            </w:pPr>
          </w:p>
        </w:tc>
        <w:tc>
          <w:tcPr>
            <w:tcW w:w="3714" w:type="dxa"/>
            <w:noWrap/>
            <w:hideMark/>
          </w:tcPr>
          <w:p w:rsidR="00D01541" w:rsidRPr="00D01541" w:rsidRDefault="00D01541" w:rsidP="00D01541">
            <w:pPr>
              <w:spacing w:before="0" w:after="0" w:line="240" w:lineRule="auto"/>
              <w:rPr>
                <w:rFonts w:eastAsia="Times New Roman"/>
                <w:color w:val="000000"/>
                <w:lang w:eastAsia="en-GB"/>
              </w:rPr>
            </w:pPr>
            <w:r w:rsidRPr="00D01541">
              <w:rPr>
                <w:rFonts w:eastAsia="Times New Roman"/>
                <w:color w:val="000000"/>
                <w:lang w:eastAsia="en-GB"/>
              </w:rPr>
              <w:t>Bicycles, other offences</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1</w:t>
            </w:r>
          </w:p>
        </w:tc>
        <w:tc>
          <w:tcPr>
            <w:tcW w:w="905" w:type="dxa"/>
            <w:noWrap/>
            <w:hideMark/>
          </w:tcPr>
          <w:p w:rsidR="00D01541" w:rsidRPr="00D01541" w:rsidRDefault="00D01541" w:rsidP="005F4F61">
            <w:pPr>
              <w:spacing w:before="0" w:after="0" w:line="240" w:lineRule="auto"/>
              <w:jc w:val="center"/>
              <w:rPr>
                <w:rFonts w:eastAsia="Times New Roman"/>
                <w:color w:val="000000"/>
                <w:lang w:eastAsia="en-GB"/>
              </w:rPr>
            </w:pPr>
            <w:r w:rsidRPr="00D01541">
              <w:rPr>
                <w:rFonts w:eastAsia="Times New Roman"/>
                <w:color w:val="000000"/>
                <w:lang w:eastAsia="en-GB"/>
              </w:rPr>
              <w:t>0</w:t>
            </w:r>
          </w:p>
        </w:tc>
        <w:tc>
          <w:tcPr>
            <w:tcW w:w="905" w:type="dxa"/>
            <w:noWrap/>
            <w:hideMark/>
          </w:tcPr>
          <w:p w:rsidR="00D01541" w:rsidRPr="00D01541" w:rsidRDefault="00D01541" w:rsidP="005F4F61">
            <w:pPr>
              <w:spacing w:before="0" w:after="0" w:line="240" w:lineRule="auto"/>
              <w:jc w:val="center"/>
              <w:rPr>
                <w:rFonts w:eastAsia="Times New Roman"/>
                <w:lang w:eastAsia="en-GB"/>
              </w:rPr>
            </w:pPr>
            <w:r w:rsidRPr="00D01541">
              <w:rPr>
                <w:rFonts w:eastAsia="Times New Roman"/>
                <w:lang w:eastAsia="en-GB"/>
              </w:rPr>
              <w:t>0</w:t>
            </w:r>
          </w:p>
        </w:tc>
      </w:tr>
      <w:tr w:rsidR="00D01541" w:rsidRPr="00D01541" w:rsidTr="0047765B">
        <w:trPr>
          <w:trHeight w:val="298"/>
        </w:trPr>
        <w:tc>
          <w:tcPr>
            <w:tcW w:w="2206" w:type="dxa"/>
            <w:hideMark/>
          </w:tcPr>
          <w:p w:rsidR="00D01541" w:rsidRPr="00D01541" w:rsidRDefault="00D01541" w:rsidP="00D01541">
            <w:pPr>
              <w:spacing w:before="0" w:after="0" w:line="240" w:lineRule="auto"/>
              <w:rPr>
                <w:rFonts w:eastAsia="Times New Roman"/>
                <w:b/>
                <w:bCs/>
                <w:color w:val="000000"/>
                <w:lang w:eastAsia="en-GB"/>
              </w:rPr>
            </w:pPr>
            <w:r w:rsidRPr="00D01541">
              <w:rPr>
                <w:rFonts w:eastAsia="Times New Roman"/>
                <w:b/>
                <w:bCs/>
                <w:color w:val="000000"/>
                <w:lang w:eastAsia="en-GB"/>
              </w:rPr>
              <w:t>Total</w:t>
            </w:r>
          </w:p>
        </w:tc>
        <w:tc>
          <w:tcPr>
            <w:tcW w:w="3714" w:type="dxa"/>
            <w:hideMark/>
          </w:tcPr>
          <w:p w:rsidR="00D01541" w:rsidRPr="00D01541" w:rsidRDefault="00D01541" w:rsidP="00D01541">
            <w:pPr>
              <w:spacing w:before="0" w:after="0" w:line="240" w:lineRule="auto"/>
              <w:rPr>
                <w:rFonts w:eastAsia="Times New Roman"/>
                <w:b/>
                <w:bCs/>
                <w:color w:val="000000"/>
                <w:lang w:eastAsia="en-GB"/>
              </w:rPr>
            </w:pPr>
            <w:r w:rsidRPr="00D01541">
              <w:rPr>
                <w:rFonts w:eastAsia="Times New Roman"/>
                <w:b/>
                <w:bCs/>
                <w:color w:val="000000"/>
                <w:lang w:eastAsia="en-GB"/>
              </w:rPr>
              <w:t> </w:t>
            </w:r>
          </w:p>
        </w:tc>
        <w:tc>
          <w:tcPr>
            <w:tcW w:w="905" w:type="dxa"/>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149</w:t>
            </w:r>
          </w:p>
        </w:tc>
        <w:tc>
          <w:tcPr>
            <w:tcW w:w="905" w:type="dxa"/>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134</w:t>
            </w:r>
          </w:p>
        </w:tc>
        <w:tc>
          <w:tcPr>
            <w:tcW w:w="905" w:type="dxa"/>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143</w:t>
            </w:r>
          </w:p>
        </w:tc>
        <w:tc>
          <w:tcPr>
            <w:tcW w:w="905" w:type="dxa"/>
            <w:hideMark/>
          </w:tcPr>
          <w:p w:rsidR="00D01541" w:rsidRPr="00D01541" w:rsidRDefault="00D01541" w:rsidP="005F4F61">
            <w:pPr>
              <w:spacing w:before="0" w:after="0" w:line="240" w:lineRule="auto"/>
              <w:jc w:val="center"/>
              <w:rPr>
                <w:rFonts w:eastAsia="Times New Roman"/>
                <w:b/>
                <w:bCs/>
                <w:color w:val="000000"/>
                <w:lang w:eastAsia="en-GB"/>
              </w:rPr>
            </w:pPr>
            <w:r w:rsidRPr="00D01541">
              <w:rPr>
                <w:rFonts w:eastAsia="Times New Roman"/>
                <w:b/>
                <w:bCs/>
                <w:color w:val="000000"/>
                <w:lang w:eastAsia="en-GB"/>
              </w:rPr>
              <w:t>110</w:t>
            </w:r>
          </w:p>
        </w:tc>
      </w:tr>
    </w:tbl>
    <w:p w:rsidR="00AB2F00" w:rsidRDefault="00AB2F00" w:rsidP="00AB2F00"/>
    <w:p w:rsidR="00AB2F00" w:rsidRDefault="00AB2F00" w:rsidP="00AB2F00">
      <w:r>
        <w:t>All statistics are provisional and should be treated as management information. All data have been extracted from Police Scotland internal systems and are correct as at 13th Arpil 2023.</w:t>
      </w:r>
    </w:p>
    <w:p w:rsidR="008A122E" w:rsidRDefault="00AB2F00" w:rsidP="00857A6A">
      <w:r>
        <w:t>The Recorded Crimes are extracted using the Date Raised, and then selecting the Stats Class Codes: '607801'(Dangerously riding a bicycle or tricycle); '607802' (Carelessly or inconsiderately riding a bicycle or tricycle);  '607803' (Drunk when riding a bicycle); and '607899' (Bicycles, other offences).</w:t>
      </w:r>
      <w:r w:rsidR="008A122E">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035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71265"/>
    <w:multiLevelType w:val="hybridMultilevel"/>
    <w:tmpl w:val="E31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3645"/>
    <w:rsid w:val="00195CC4"/>
    <w:rsid w:val="00253DF6"/>
    <w:rsid w:val="00255F1E"/>
    <w:rsid w:val="0036503B"/>
    <w:rsid w:val="00376158"/>
    <w:rsid w:val="003D6D03"/>
    <w:rsid w:val="003E12CA"/>
    <w:rsid w:val="004010DC"/>
    <w:rsid w:val="00425386"/>
    <w:rsid w:val="00432D3F"/>
    <w:rsid w:val="004341F0"/>
    <w:rsid w:val="00456324"/>
    <w:rsid w:val="00475460"/>
    <w:rsid w:val="0047765B"/>
    <w:rsid w:val="00490317"/>
    <w:rsid w:val="00491644"/>
    <w:rsid w:val="00496A08"/>
    <w:rsid w:val="004E1605"/>
    <w:rsid w:val="004F653C"/>
    <w:rsid w:val="00540A52"/>
    <w:rsid w:val="00557306"/>
    <w:rsid w:val="005F4F61"/>
    <w:rsid w:val="006D5799"/>
    <w:rsid w:val="00750D83"/>
    <w:rsid w:val="00793DD5"/>
    <w:rsid w:val="00794209"/>
    <w:rsid w:val="007D55F6"/>
    <w:rsid w:val="007F490F"/>
    <w:rsid w:val="00857A6A"/>
    <w:rsid w:val="0086779C"/>
    <w:rsid w:val="00874BFD"/>
    <w:rsid w:val="008964EF"/>
    <w:rsid w:val="008A122E"/>
    <w:rsid w:val="009631A4"/>
    <w:rsid w:val="00977296"/>
    <w:rsid w:val="00A25E93"/>
    <w:rsid w:val="00A320FF"/>
    <w:rsid w:val="00A70AC0"/>
    <w:rsid w:val="00A84EA9"/>
    <w:rsid w:val="00AB2F00"/>
    <w:rsid w:val="00AC443C"/>
    <w:rsid w:val="00AE0092"/>
    <w:rsid w:val="00AF40D6"/>
    <w:rsid w:val="00B11A55"/>
    <w:rsid w:val="00B17211"/>
    <w:rsid w:val="00B461B2"/>
    <w:rsid w:val="00B71B3C"/>
    <w:rsid w:val="00B80354"/>
    <w:rsid w:val="00BC389E"/>
    <w:rsid w:val="00BE0A44"/>
    <w:rsid w:val="00BE1888"/>
    <w:rsid w:val="00BF6B81"/>
    <w:rsid w:val="00C077A8"/>
    <w:rsid w:val="00C606A2"/>
    <w:rsid w:val="00C63872"/>
    <w:rsid w:val="00C84948"/>
    <w:rsid w:val="00CF1111"/>
    <w:rsid w:val="00D01541"/>
    <w:rsid w:val="00D05706"/>
    <w:rsid w:val="00D27DC5"/>
    <w:rsid w:val="00D442DA"/>
    <w:rsid w:val="00D47E36"/>
    <w:rsid w:val="00E538A9"/>
    <w:rsid w:val="00E55D79"/>
    <w:rsid w:val="00EF4761"/>
    <w:rsid w:val="00F668A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23401">
      <w:bodyDiv w:val="1"/>
      <w:marLeft w:val="0"/>
      <w:marRight w:val="0"/>
      <w:marTop w:val="0"/>
      <w:marBottom w:val="0"/>
      <w:divBdr>
        <w:top w:val="none" w:sz="0" w:space="0" w:color="auto"/>
        <w:left w:val="none" w:sz="0" w:space="0" w:color="auto"/>
        <w:bottom w:val="none" w:sz="0" w:space="0" w:color="auto"/>
        <w:right w:val="none" w:sz="0" w:space="0" w:color="auto"/>
      </w:divBdr>
    </w:div>
    <w:div w:id="1231622801">
      <w:bodyDiv w:val="1"/>
      <w:marLeft w:val="0"/>
      <w:marRight w:val="0"/>
      <w:marTop w:val="0"/>
      <w:marBottom w:val="0"/>
      <w:divBdr>
        <w:top w:val="none" w:sz="0" w:space="0" w:color="auto"/>
        <w:left w:val="none" w:sz="0" w:space="0" w:color="auto"/>
        <w:bottom w:val="none" w:sz="0" w:space="0" w:color="auto"/>
        <w:right w:val="none" w:sz="0" w:space="0" w:color="auto"/>
      </w:divBdr>
    </w:div>
    <w:div w:id="1327899079">
      <w:bodyDiv w:val="1"/>
      <w:marLeft w:val="0"/>
      <w:marRight w:val="0"/>
      <w:marTop w:val="0"/>
      <w:marBottom w:val="0"/>
      <w:divBdr>
        <w:top w:val="none" w:sz="0" w:space="0" w:color="auto"/>
        <w:left w:val="none" w:sz="0" w:space="0" w:color="auto"/>
        <w:bottom w:val="none" w:sz="0" w:space="0" w:color="auto"/>
        <w:right w:val="none" w:sz="0" w:space="0" w:color="auto"/>
      </w:divBdr>
    </w:div>
    <w:div w:id="14874713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1021</Words>
  <Characters>5824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2023-04-20T06:16:00Z</dcterms:created>
  <dcterms:modified xsi:type="dcterms:W3CDTF">2023-04-21T07:15:00Z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