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812DA24" w:rsidR="00B17211" w:rsidRPr="00B17211" w:rsidRDefault="00B17211" w:rsidP="007F490F">
            <w:r w:rsidRPr="007F490F">
              <w:rPr>
                <w:rStyle w:val="Heading2Char"/>
              </w:rPr>
              <w:t>Our reference:</w:t>
            </w:r>
            <w:r>
              <w:t xml:space="preserve">  FOI 2</w:t>
            </w:r>
            <w:r w:rsidR="00EF0FBB">
              <w:t>5</w:t>
            </w:r>
            <w:r>
              <w:t>-</w:t>
            </w:r>
            <w:r w:rsidR="005D0712">
              <w:t>0311</w:t>
            </w:r>
          </w:p>
          <w:p w14:paraId="34BDABA6" w14:textId="590E5B03" w:rsidR="00B17211" w:rsidRDefault="00456324" w:rsidP="00EE2373">
            <w:r w:rsidRPr="007F490F">
              <w:rPr>
                <w:rStyle w:val="Heading2Char"/>
              </w:rPr>
              <w:t>Respon</w:t>
            </w:r>
            <w:r w:rsidR="007D55F6">
              <w:rPr>
                <w:rStyle w:val="Heading2Char"/>
              </w:rPr>
              <w:t>ded to:</w:t>
            </w:r>
            <w:r w:rsidR="007F490F">
              <w:t xml:space="preserve">  </w:t>
            </w:r>
            <w:r w:rsidR="00B17211">
              <w:t>xx</w:t>
            </w:r>
            <w:r w:rsidR="006D5799">
              <w:t xml:space="preserve"> </w:t>
            </w:r>
            <w:r w:rsidR="003721C4">
              <w:t xml:space="preserve">May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9B88A52" w14:textId="77777777" w:rsidR="003721C4" w:rsidRDefault="005D0712" w:rsidP="003721C4">
      <w:pPr>
        <w:pStyle w:val="ListParagraph"/>
        <w:numPr>
          <w:ilvl w:val="0"/>
          <w:numId w:val="2"/>
        </w:numPr>
        <w:tabs>
          <w:tab w:val="left" w:pos="5400"/>
        </w:tabs>
        <w:rPr>
          <w:b/>
          <w:bCs/>
        </w:rPr>
      </w:pPr>
      <w:r w:rsidRPr="003721C4">
        <w:rPr>
          <w:b/>
          <w:bCs/>
        </w:rPr>
        <w:t>What specific guidance and training materials are being provided to officers and staff regarding the Hate Crime and Public Order (Scotland) Act 2021, particularly concerning the identification, recording, and investigation of hate crimes?</w:t>
      </w:r>
    </w:p>
    <w:p w14:paraId="4598D617" w14:textId="5B0F017A" w:rsidR="003721C4" w:rsidRPr="003721C4" w:rsidRDefault="003721C4" w:rsidP="003721C4">
      <w:pPr>
        <w:tabs>
          <w:tab w:val="left" w:pos="5400"/>
        </w:tabs>
        <w:rPr>
          <w:b/>
          <w:bCs/>
        </w:rPr>
      </w:pPr>
      <w:r>
        <w:t>The information sought is held by Police Scotland, but I am refusing to provide it in terms of s</w:t>
      </w:r>
      <w:r w:rsidRPr="00453F0A">
        <w:t>ection 16</w:t>
      </w:r>
      <w:r>
        <w:t>(1) of the Act on the basis that the section 25(1) exemption applies:</w:t>
      </w:r>
    </w:p>
    <w:p w14:paraId="135A198F" w14:textId="77777777" w:rsidR="003721C4" w:rsidRDefault="003721C4" w:rsidP="003721C4">
      <w:r>
        <w:t>“Information which the applicant can reasonably obtain other than by requesting it […] is exempt information”.</w:t>
      </w:r>
    </w:p>
    <w:p w14:paraId="4A7D14AE" w14:textId="445D71AE" w:rsidR="00B977C0" w:rsidRDefault="003721C4" w:rsidP="003721C4">
      <w:r>
        <w:t>The information sought is publicly available</w:t>
      </w:r>
      <w:r w:rsidR="00B158AC">
        <w:t xml:space="preserve"> in our </w:t>
      </w:r>
      <w:hyperlink r:id="rId11" w:tgtFrame="_blank" w:tooltip="Responding To Hate Standard Operation Procedure" w:history="1">
        <w:r w:rsidR="00B158AC" w:rsidRPr="00B158AC">
          <w:rPr>
            <w:rStyle w:val="Hyperlink"/>
          </w:rPr>
          <w:t>Responding to Hate SOP</w:t>
        </w:r>
      </w:hyperlink>
      <w:r w:rsidR="00B158AC">
        <w:t>.</w:t>
      </w:r>
    </w:p>
    <w:p w14:paraId="38C10FAC" w14:textId="77777777" w:rsidR="00B158AC" w:rsidRPr="005D0712" w:rsidRDefault="00B158AC" w:rsidP="003721C4"/>
    <w:p w14:paraId="58DC7C41" w14:textId="45489667" w:rsidR="005D0712" w:rsidRPr="00B977C0" w:rsidRDefault="005D0712" w:rsidP="00B977C0">
      <w:pPr>
        <w:pStyle w:val="ListParagraph"/>
        <w:numPr>
          <w:ilvl w:val="0"/>
          <w:numId w:val="2"/>
        </w:numPr>
        <w:tabs>
          <w:tab w:val="left" w:pos="5400"/>
        </w:tabs>
        <w:rPr>
          <w:b/>
          <w:bCs/>
        </w:rPr>
      </w:pPr>
      <w:r w:rsidRPr="00B977C0">
        <w:rPr>
          <w:b/>
          <w:bCs/>
        </w:rPr>
        <w:t>How does the guidance address the balance between protecting individuals from hate crimes and preserving freedom of expression, especially regarding the recording and investigation of 'non-crime hate incidents’?</w:t>
      </w:r>
    </w:p>
    <w:p w14:paraId="1D979DD6" w14:textId="07B397E4" w:rsidR="005D0712" w:rsidRPr="001C7E76" w:rsidRDefault="005D0712" w:rsidP="001C7E76">
      <w:pPr>
        <w:pStyle w:val="ListParagraph"/>
        <w:numPr>
          <w:ilvl w:val="0"/>
          <w:numId w:val="2"/>
        </w:numPr>
        <w:tabs>
          <w:tab w:val="left" w:pos="5400"/>
        </w:tabs>
        <w:rPr>
          <w:b/>
          <w:bCs/>
        </w:rPr>
      </w:pPr>
      <w:r w:rsidRPr="001C7E76">
        <w:rPr>
          <w:b/>
          <w:bCs/>
        </w:rPr>
        <w:t xml:space="preserve">What are the criteria for determining whether an incident is classified as a hate </w:t>
      </w:r>
      <w:proofErr w:type="gramStart"/>
      <w:r w:rsidRPr="001C7E76">
        <w:rPr>
          <w:b/>
          <w:bCs/>
        </w:rPr>
        <w:t>crime</w:t>
      </w:r>
      <w:proofErr w:type="gramEnd"/>
      <w:r w:rsidRPr="001C7E76">
        <w:rPr>
          <w:b/>
          <w:bCs/>
        </w:rPr>
        <w:t xml:space="preserve"> or a non-crime hate incident? Please provide detailed information on the thresholds and factors considered in making this distinction.</w:t>
      </w:r>
    </w:p>
    <w:p w14:paraId="3D244DF2" w14:textId="5F56F8A7" w:rsidR="001C7E76" w:rsidRDefault="00B158AC" w:rsidP="001C7E76">
      <w:pPr>
        <w:tabs>
          <w:tab w:val="left" w:pos="5400"/>
        </w:tabs>
      </w:pPr>
      <w:r>
        <w:t>T</w:t>
      </w:r>
      <w:r w:rsidR="001C7E76">
        <w:t xml:space="preserve">he </w:t>
      </w:r>
      <w:hyperlink r:id="rId12" w:history="1">
        <w:r>
          <w:rPr>
            <w:rStyle w:val="Hyperlink"/>
          </w:rPr>
          <w:t>Scottish Crime Recording Standard (SCRS)</w:t>
        </w:r>
      </w:hyperlink>
      <w:r>
        <w:t xml:space="preserve"> </w:t>
      </w:r>
      <w:r w:rsidR="001C7E76" w:rsidRPr="00B977C0">
        <w:t xml:space="preserve">provides a framework for the recording and counting of crimes in Scotland. It is overseen by the Scottish Crime Recording Board (SCRB) and aims to ensure uniformity in crime recording practices across the country, focussing on a victim orientated approach. The SCRS was introduced in 2004 to enhance the accuracy and consistency of crime data recorded by the Police Service of Scotland. </w:t>
      </w:r>
    </w:p>
    <w:p w14:paraId="60F73B87" w14:textId="77777777" w:rsidR="001C7E76" w:rsidRPr="005D0712" w:rsidRDefault="001C7E76" w:rsidP="001C7E76">
      <w:pPr>
        <w:tabs>
          <w:tab w:val="left" w:pos="5400"/>
        </w:tabs>
      </w:pPr>
    </w:p>
    <w:p w14:paraId="337FD6FD" w14:textId="77777777" w:rsidR="00B158AC" w:rsidRDefault="00B158AC">
      <w:pPr>
        <w:rPr>
          <w:b/>
          <w:bCs/>
        </w:rPr>
      </w:pPr>
      <w:r>
        <w:rPr>
          <w:b/>
          <w:bCs/>
        </w:rPr>
        <w:br w:type="page"/>
      </w:r>
    </w:p>
    <w:p w14:paraId="5C8ED483" w14:textId="268E131C" w:rsidR="005D0712" w:rsidRPr="00100781" w:rsidRDefault="005D0712" w:rsidP="00100781">
      <w:pPr>
        <w:pStyle w:val="ListParagraph"/>
        <w:numPr>
          <w:ilvl w:val="0"/>
          <w:numId w:val="2"/>
        </w:numPr>
        <w:tabs>
          <w:tab w:val="left" w:pos="5400"/>
        </w:tabs>
        <w:rPr>
          <w:b/>
          <w:bCs/>
        </w:rPr>
      </w:pPr>
      <w:r w:rsidRPr="00100781">
        <w:rPr>
          <w:b/>
          <w:bCs/>
        </w:rPr>
        <w:lastRenderedPageBreak/>
        <w:t>How many hate crimes and non-crime hate incidents have been recorded since the implementation of the Act, disaggregated by protected characteristic and type of offence?</w:t>
      </w:r>
    </w:p>
    <w:p w14:paraId="0D951A5E" w14:textId="57CFB5F4" w:rsidR="00A7048E" w:rsidRDefault="00A7048E" w:rsidP="00A7048E">
      <w:r>
        <w:t>In response to this question please see the tables below.  Please note the caveats at the bottom of the tables.</w:t>
      </w:r>
    </w:p>
    <w:tbl>
      <w:tblPr>
        <w:tblStyle w:val="TableGrid"/>
        <w:tblW w:w="0" w:type="auto"/>
        <w:tblLook w:val="04A0" w:firstRow="1" w:lastRow="0" w:firstColumn="1" w:lastColumn="0" w:noHBand="0" w:noVBand="1"/>
        <w:tblCaption w:val="Category of hate and non-hate crimes."/>
        <w:tblDescription w:val="Category of hate and non-hate crimes."/>
      </w:tblPr>
      <w:tblGrid>
        <w:gridCol w:w="4231"/>
        <w:gridCol w:w="1257"/>
      </w:tblGrid>
      <w:tr w:rsidR="00A7048E" w:rsidRPr="00A7048E" w14:paraId="1ADEA84C" w14:textId="77777777" w:rsidTr="00A7048E">
        <w:trPr>
          <w:trHeight w:val="330"/>
          <w:tblHeader/>
        </w:trPr>
        <w:tc>
          <w:tcPr>
            <w:tcW w:w="4231" w:type="dxa"/>
            <w:shd w:val="clear" w:color="auto" w:fill="D9D9D9" w:themeFill="background1" w:themeFillShade="D9"/>
            <w:noWrap/>
            <w:hideMark/>
          </w:tcPr>
          <w:p w14:paraId="39CE89A4" w14:textId="77777777" w:rsidR="00A7048E" w:rsidRPr="00A7048E" w:rsidRDefault="00A7048E" w:rsidP="00B158AC">
            <w:pPr>
              <w:tabs>
                <w:tab w:val="left" w:pos="5400"/>
              </w:tabs>
              <w:spacing w:line="240" w:lineRule="auto"/>
              <w:rPr>
                <w:b/>
                <w:bCs/>
              </w:rPr>
            </w:pPr>
            <w:r w:rsidRPr="00A7048E">
              <w:rPr>
                <w:b/>
                <w:bCs/>
              </w:rPr>
              <w:t>Category</w:t>
            </w:r>
          </w:p>
        </w:tc>
        <w:tc>
          <w:tcPr>
            <w:tcW w:w="1257" w:type="dxa"/>
            <w:shd w:val="clear" w:color="auto" w:fill="D9D9D9" w:themeFill="background1" w:themeFillShade="D9"/>
            <w:noWrap/>
            <w:hideMark/>
          </w:tcPr>
          <w:p w14:paraId="4383303F" w14:textId="37B7DFDF" w:rsidR="00A7048E" w:rsidRPr="00A7048E" w:rsidRDefault="00A7048E" w:rsidP="00B158AC">
            <w:pPr>
              <w:tabs>
                <w:tab w:val="left" w:pos="5400"/>
              </w:tabs>
              <w:spacing w:line="240" w:lineRule="auto"/>
              <w:rPr>
                <w:b/>
                <w:bCs/>
              </w:rPr>
            </w:pPr>
            <w:r w:rsidRPr="00A7048E">
              <w:rPr>
                <w:b/>
                <w:bCs/>
              </w:rPr>
              <w:t>N</w:t>
            </w:r>
            <w:r>
              <w:rPr>
                <w:b/>
                <w:bCs/>
              </w:rPr>
              <w:t>umber</w:t>
            </w:r>
          </w:p>
        </w:tc>
      </w:tr>
      <w:tr w:rsidR="00A7048E" w:rsidRPr="00A7048E" w14:paraId="52611F6D" w14:textId="77777777" w:rsidTr="00A7048E">
        <w:trPr>
          <w:trHeight w:val="300"/>
        </w:trPr>
        <w:tc>
          <w:tcPr>
            <w:tcW w:w="4231" w:type="dxa"/>
            <w:noWrap/>
            <w:hideMark/>
          </w:tcPr>
          <w:p w14:paraId="6AEB230E" w14:textId="4D39A9DC" w:rsidR="00A7048E" w:rsidRPr="00A7048E" w:rsidRDefault="00A7048E" w:rsidP="00B158AC">
            <w:pPr>
              <w:tabs>
                <w:tab w:val="left" w:pos="5400"/>
              </w:tabs>
              <w:spacing w:line="240" w:lineRule="auto"/>
            </w:pPr>
            <w:r w:rsidRPr="00A7048E">
              <w:t>Number of non-</w:t>
            </w:r>
            <w:proofErr w:type="gramStart"/>
            <w:r w:rsidR="00B158AC">
              <w:t>crime</w:t>
            </w:r>
            <w:proofErr w:type="gramEnd"/>
            <w:r w:rsidR="00B158AC">
              <w:t xml:space="preserve"> hate</w:t>
            </w:r>
            <w:r w:rsidRPr="00A7048E">
              <w:t xml:space="preserve"> incidents</w:t>
            </w:r>
          </w:p>
        </w:tc>
        <w:tc>
          <w:tcPr>
            <w:tcW w:w="1257" w:type="dxa"/>
            <w:noWrap/>
            <w:hideMark/>
          </w:tcPr>
          <w:p w14:paraId="59ACB9CF" w14:textId="77777777" w:rsidR="00A7048E" w:rsidRPr="00A7048E" w:rsidRDefault="00A7048E" w:rsidP="00B158AC">
            <w:pPr>
              <w:tabs>
                <w:tab w:val="left" w:pos="5400"/>
              </w:tabs>
              <w:spacing w:line="240" w:lineRule="auto"/>
            </w:pPr>
            <w:r w:rsidRPr="00A7048E">
              <w:t>898</w:t>
            </w:r>
          </w:p>
        </w:tc>
      </w:tr>
      <w:tr w:rsidR="00A7048E" w:rsidRPr="00A7048E" w14:paraId="3B480EB1" w14:textId="77777777" w:rsidTr="00A7048E">
        <w:trPr>
          <w:trHeight w:val="300"/>
        </w:trPr>
        <w:tc>
          <w:tcPr>
            <w:tcW w:w="4231" w:type="dxa"/>
            <w:noWrap/>
            <w:hideMark/>
          </w:tcPr>
          <w:p w14:paraId="72FF81A5" w14:textId="138F17A1" w:rsidR="00A7048E" w:rsidRPr="00A7048E" w:rsidRDefault="00A7048E" w:rsidP="00B158AC">
            <w:pPr>
              <w:tabs>
                <w:tab w:val="left" w:pos="5400"/>
              </w:tabs>
              <w:spacing w:line="240" w:lineRule="auto"/>
            </w:pPr>
            <w:r w:rsidRPr="00A7048E">
              <w:t xml:space="preserve">Number of </w:t>
            </w:r>
            <w:r w:rsidR="00B158AC">
              <w:t>h</w:t>
            </w:r>
            <w:r w:rsidRPr="00A7048E">
              <w:t>ate crimes</w:t>
            </w:r>
          </w:p>
        </w:tc>
        <w:tc>
          <w:tcPr>
            <w:tcW w:w="1257" w:type="dxa"/>
            <w:noWrap/>
            <w:hideMark/>
          </w:tcPr>
          <w:p w14:paraId="4F1D8A1B" w14:textId="77777777" w:rsidR="00A7048E" w:rsidRPr="00A7048E" w:rsidRDefault="00A7048E" w:rsidP="00B158AC">
            <w:pPr>
              <w:tabs>
                <w:tab w:val="left" w:pos="5400"/>
              </w:tabs>
              <w:spacing w:line="240" w:lineRule="auto"/>
            </w:pPr>
            <w:r w:rsidRPr="00A7048E">
              <w:t>7812</w:t>
            </w:r>
          </w:p>
        </w:tc>
      </w:tr>
    </w:tbl>
    <w:p w14:paraId="3756B709" w14:textId="77777777" w:rsidR="00A7048E" w:rsidRDefault="00A7048E" w:rsidP="005D0712">
      <w:pPr>
        <w:tabs>
          <w:tab w:val="left" w:pos="5400"/>
        </w:tabs>
      </w:pPr>
    </w:p>
    <w:tbl>
      <w:tblPr>
        <w:tblStyle w:val="TableGrid"/>
        <w:tblW w:w="0" w:type="auto"/>
        <w:tblLook w:val="04A0" w:firstRow="1" w:lastRow="0" w:firstColumn="1" w:lastColumn="0" w:noHBand="0" w:noVBand="1"/>
        <w:tblCaption w:val="Aggravators"/>
        <w:tblDescription w:val="Aggravators"/>
      </w:tblPr>
      <w:tblGrid>
        <w:gridCol w:w="3818"/>
        <w:gridCol w:w="1123"/>
      </w:tblGrid>
      <w:tr w:rsidR="00A7048E" w:rsidRPr="00A7048E" w14:paraId="3EDD16BC" w14:textId="77777777" w:rsidTr="00A7048E">
        <w:trPr>
          <w:trHeight w:val="330"/>
          <w:tblHeader/>
        </w:trPr>
        <w:tc>
          <w:tcPr>
            <w:tcW w:w="3818" w:type="dxa"/>
            <w:shd w:val="clear" w:color="auto" w:fill="D9D9D9" w:themeFill="background1" w:themeFillShade="D9"/>
            <w:noWrap/>
            <w:hideMark/>
          </w:tcPr>
          <w:p w14:paraId="4121F64A" w14:textId="77777777" w:rsidR="00A7048E" w:rsidRPr="00A7048E" w:rsidRDefault="00A7048E" w:rsidP="00B158AC">
            <w:pPr>
              <w:tabs>
                <w:tab w:val="left" w:pos="5400"/>
              </w:tabs>
              <w:spacing w:line="240" w:lineRule="auto"/>
              <w:rPr>
                <w:b/>
                <w:bCs/>
              </w:rPr>
            </w:pPr>
            <w:r w:rsidRPr="00A7048E">
              <w:rPr>
                <w:b/>
                <w:bCs/>
              </w:rPr>
              <w:t>Aggravators</w:t>
            </w:r>
          </w:p>
        </w:tc>
        <w:tc>
          <w:tcPr>
            <w:tcW w:w="960" w:type="dxa"/>
            <w:shd w:val="clear" w:color="auto" w:fill="D9D9D9" w:themeFill="background1" w:themeFillShade="D9"/>
            <w:noWrap/>
            <w:hideMark/>
          </w:tcPr>
          <w:p w14:paraId="4EF2420F" w14:textId="7081F2EF" w:rsidR="00A7048E" w:rsidRPr="00A7048E" w:rsidRDefault="00B158AC" w:rsidP="00B158AC">
            <w:pPr>
              <w:tabs>
                <w:tab w:val="left" w:pos="5400"/>
              </w:tabs>
              <w:spacing w:line="240" w:lineRule="auto"/>
              <w:rPr>
                <w:b/>
                <w:bCs/>
              </w:rPr>
            </w:pPr>
            <w:r>
              <w:rPr>
                <w:b/>
                <w:bCs/>
              </w:rPr>
              <w:t>Number</w:t>
            </w:r>
          </w:p>
        </w:tc>
      </w:tr>
      <w:tr w:rsidR="00A7048E" w:rsidRPr="00A7048E" w14:paraId="3D44D560" w14:textId="77777777" w:rsidTr="00A7048E">
        <w:trPr>
          <w:trHeight w:val="300"/>
        </w:trPr>
        <w:tc>
          <w:tcPr>
            <w:tcW w:w="3818" w:type="dxa"/>
            <w:noWrap/>
            <w:hideMark/>
          </w:tcPr>
          <w:p w14:paraId="42BE099B" w14:textId="77777777" w:rsidR="00A7048E" w:rsidRPr="00A7048E" w:rsidRDefault="00A7048E" w:rsidP="00B158AC">
            <w:pPr>
              <w:tabs>
                <w:tab w:val="left" w:pos="5400"/>
              </w:tabs>
              <w:spacing w:line="240" w:lineRule="auto"/>
            </w:pPr>
            <w:r w:rsidRPr="00A7048E">
              <w:t>Race</w:t>
            </w:r>
          </w:p>
        </w:tc>
        <w:tc>
          <w:tcPr>
            <w:tcW w:w="960" w:type="dxa"/>
            <w:noWrap/>
            <w:hideMark/>
          </w:tcPr>
          <w:p w14:paraId="0F835AF3" w14:textId="77777777" w:rsidR="00A7048E" w:rsidRPr="00A7048E" w:rsidRDefault="00A7048E" w:rsidP="00B158AC">
            <w:pPr>
              <w:tabs>
                <w:tab w:val="left" w:pos="5400"/>
              </w:tabs>
              <w:spacing w:line="240" w:lineRule="auto"/>
            </w:pPr>
            <w:r w:rsidRPr="00A7048E">
              <w:t>4764</w:t>
            </w:r>
          </w:p>
        </w:tc>
      </w:tr>
      <w:tr w:rsidR="00A7048E" w:rsidRPr="00A7048E" w14:paraId="0A429195" w14:textId="77777777" w:rsidTr="00A7048E">
        <w:trPr>
          <w:trHeight w:val="300"/>
        </w:trPr>
        <w:tc>
          <w:tcPr>
            <w:tcW w:w="3818" w:type="dxa"/>
            <w:noWrap/>
            <w:hideMark/>
          </w:tcPr>
          <w:p w14:paraId="14BA8717" w14:textId="77777777" w:rsidR="00A7048E" w:rsidRPr="00A7048E" w:rsidRDefault="00A7048E" w:rsidP="00B158AC">
            <w:pPr>
              <w:tabs>
                <w:tab w:val="left" w:pos="5400"/>
              </w:tabs>
              <w:spacing w:line="240" w:lineRule="auto"/>
            </w:pPr>
            <w:r w:rsidRPr="00A7048E">
              <w:t>Religion</w:t>
            </w:r>
          </w:p>
        </w:tc>
        <w:tc>
          <w:tcPr>
            <w:tcW w:w="960" w:type="dxa"/>
            <w:noWrap/>
            <w:hideMark/>
          </w:tcPr>
          <w:p w14:paraId="52DD2E35" w14:textId="77777777" w:rsidR="00A7048E" w:rsidRPr="00A7048E" w:rsidRDefault="00A7048E" w:rsidP="00B158AC">
            <w:pPr>
              <w:tabs>
                <w:tab w:val="left" w:pos="5400"/>
              </w:tabs>
              <w:spacing w:line="240" w:lineRule="auto"/>
            </w:pPr>
            <w:r w:rsidRPr="00A7048E">
              <w:t>509</w:t>
            </w:r>
          </w:p>
        </w:tc>
      </w:tr>
      <w:tr w:rsidR="00A7048E" w:rsidRPr="00A7048E" w14:paraId="5AB16DAD" w14:textId="77777777" w:rsidTr="00A7048E">
        <w:trPr>
          <w:trHeight w:val="300"/>
        </w:trPr>
        <w:tc>
          <w:tcPr>
            <w:tcW w:w="3818" w:type="dxa"/>
            <w:noWrap/>
            <w:hideMark/>
          </w:tcPr>
          <w:p w14:paraId="36D7AAF1" w14:textId="77777777" w:rsidR="00A7048E" w:rsidRPr="00A7048E" w:rsidRDefault="00A7048E" w:rsidP="00B158AC">
            <w:pPr>
              <w:tabs>
                <w:tab w:val="left" w:pos="5400"/>
              </w:tabs>
              <w:spacing w:line="240" w:lineRule="auto"/>
            </w:pPr>
            <w:r w:rsidRPr="00A7048E">
              <w:t>Disability</w:t>
            </w:r>
          </w:p>
        </w:tc>
        <w:tc>
          <w:tcPr>
            <w:tcW w:w="960" w:type="dxa"/>
            <w:noWrap/>
            <w:hideMark/>
          </w:tcPr>
          <w:p w14:paraId="0AC5A0AB" w14:textId="77777777" w:rsidR="00A7048E" w:rsidRPr="00A7048E" w:rsidRDefault="00A7048E" w:rsidP="00B158AC">
            <w:pPr>
              <w:tabs>
                <w:tab w:val="left" w:pos="5400"/>
              </w:tabs>
              <w:spacing w:line="240" w:lineRule="auto"/>
            </w:pPr>
            <w:r w:rsidRPr="00A7048E">
              <w:t>992</w:t>
            </w:r>
          </w:p>
        </w:tc>
      </w:tr>
      <w:tr w:rsidR="00A7048E" w:rsidRPr="00A7048E" w14:paraId="2C824592" w14:textId="77777777" w:rsidTr="00A7048E">
        <w:trPr>
          <w:trHeight w:val="300"/>
        </w:trPr>
        <w:tc>
          <w:tcPr>
            <w:tcW w:w="3818" w:type="dxa"/>
            <w:noWrap/>
            <w:hideMark/>
          </w:tcPr>
          <w:p w14:paraId="63C97078" w14:textId="77777777" w:rsidR="00A7048E" w:rsidRPr="00A7048E" w:rsidRDefault="00A7048E" w:rsidP="00B158AC">
            <w:pPr>
              <w:tabs>
                <w:tab w:val="left" w:pos="5400"/>
              </w:tabs>
              <w:spacing w:line="240" w:lineRule="auto"/>
            </w:pPr>
            <w:r w:rsidRPr="00A7048E">
              <w:t>Sexual Orientation</w:t>
            </w:r>
          </w:p>
        </w:tc>
        <w:tc>
          <w:tcPr>
            <w:tcW w:w="960" w:type="dxa"/>
            <w:noWrap/>
            <w:hideMark/>
          </w:tcPr>
          <w:p w14:paraId="41EC97A4" w14:textId="77777777" w:rsidR="00A7048E" w:rsidRPr="00A7048E" w:rsidRDefault="00A7048E" w:rsidP="00B158AC">
            <w:pPr>
              <w:tabs>
                <w:tab w:val="left" w:pos="5400"/>
              </w:tabs>
              <w:spacing w:line="240" w:lineRule="auto"/>
            </w:pPr>
            <w:r w:rsidRPr="00A7048E">
              <w:t>1851</w:t>
            </w:r>
          </w:p>
        </w:tc>
      </w:tr>
      <w:tr w:rsidR="00A7048E" w:rsidRPr="00A7048E" w14:paraId="342955FC" w14:textId="77777777" w:rsidTr="00A7048E">
        <w:trPr>
          <w:trHeight w:val="300"/>
        </w:trPr>
        <w:tc>
          <w:tcPr>
            <w:tcW w:w="3818" w:type="dxa"/>
            <w:noWrap/>
            <w:hideMark/>
          </w:tcPr>
          <w:p w14:paraId="1CB3C776" w14:textId="77777777" w:rsidR="00A7048E" w:rsidRPr="00A7048E" w:rsidRDefault="00A7048E" w:rsidP="00B158AC">
            <w:pPr>
              <w:tabs>
                <w:tab w:val="left" w:pos="5400"/>
              </w:tabs>
              <w:spacing w:line="240" w:lineRule="auto"/>
            </w:pPr>
            <w:r w:rsidRPr="00A7048E">
              <w:t>Transgender</w:t>
            </w:r>
          </w:p>
        </w:tc>
        <w:tc>
          <w:tcPr>
            <w:tcW w:w="960" w:type="dxa"/>
            <w:noWrap/>
            <w:hideMark/>
          </w:tcPr>
          <w:p w14:paraId="37F7B00B" w14:textId="77777777" w:rsidR="00A7048E" w:rsidRPr="00A7048E" w:rsidRDefault="00A7048E" w:rsidP="00B158AC">
            <w:pPr>
              <w:tabs>
                <w:tab w:val="left" w:pos="5400"/>
              </w:tabs>
              <w:spacing w:line="240" w:lineRule="auto"/>
            </w:pPr>
            <w:r w:rsidRPr="00A7048E">
              <w:t>172</w:t>
            </w:r>
          </w:p>
        </w:tc>
      </w:tr>
      <w:tr w:rsidR="00A7048E" w:rsidRPr="00A7048E" w14:paraId="7DE584D2" w14:textId="77777777" w:rsidTr="00A7048E">
        <w:trPr>
          <w:trHeight w:val="300"/>
        </w:trPr>
        <w:tc>
          <w:tcPr>
            <w:tcW w:w="3818" w:type="dxa"/>
            <w:noWrap/>
            <w:hideMark/>
          </w:tcPr>
          <w:p w14:paraId="30D48308" w14:textId="77777777" w:rsidR="00A7048E" w:rsidRPr="00A7048E" w:rsidRDefault="00A7048E" w:rsidP="00B158AC">
            <w:pPr>
              <w:tabs>
                <w:tab w:val="left" w:pos="5400"/>
              </w:tabs>
              <w:spacing w:line="240" w:lineRule="auto"/>
            </w:pPr>
            <w:r w:rsidRPr="00A7048E">
              <w:t>Age</w:t>
            </w:r>
          </w:p>
        </w:tc>
        <w:tc>
          <w:tcPr>
            <w:tcW w:w="960" w:type="dxa"/>
            <w:noWrap/>
            <w:hideMark/>
          </w:tcPr>
          <w:p w14:paraId="63B3A59E" w14:textId="77777777" w:rsidR="00A7048E" w:rsidRPr="00A7048E" w:rsidRDefault="00A7048E" w:rsidP="00B158AC">
            <w:pPr>
              <w:tabs>
                <w:tab w:val="left" w:pos="5400"/>
              </w:tabs>
              <w:spacing w:line="240" w:lineRule="auto"/>
            </w:pPr>
            <w:r w:rsidRPr="00A7048E">
              <w:t>57</w:t>
            </w:r>
          </w:p>
        </w:tc>
      </w:tr>
      <w:tr w:rsidR="00A7048E" w:rsidRPr="00A7048E" w14:paraId="31F99E99" w14:textId="77777777" w:rsidTr="00A7048E">
        <w:trPr>
          <w:trHeight w:val="300"/>
        </w:trPr>
        <w:tc>
          <w:tcPr>
            <w:tcW w:w="3818" w:type="dxa"/>
            <w:noWrap/>
            <w:hideMark/>
          </w:tcPr>
          <w:p w14:paraId="6925781A" w14:textId="77777777" w:rsidR="00A7048E" w:rsidRPr="00A7048E" w:rsidRDefault="00A7048E" w:rsidP="00B158AC">
            <w:pPr>
              <w:tabs>
                <w:tab w:val="left" w:pos="5400"/>
              </w:tabs>
              <w:spacing w:line="240" w:lineRule="auto"/>
            </w:pPr>
            <w:r w:rsidRPr="00A7048E">
              <w:t>Variations In Sex Characteristics</w:t>
            </w:r>
          </w:p>
        </w:tc>
        <w:tc>
          <w:tcPr>
            <w:tcW w:w="960" w:type="dxa"/>
            <w:noWrap/>
            <w:hideMark/>
          </w:tcPr>
          <w:p w14:paraId="5D7D7B8C" w14:textId="77777777" w:rsidR="00A7048E" w:rsidRPr="00A7048E" w:rsidRDefault="00A7048E" w:rsidP="00B158AC">
            <w:pPr>
              <w:tabs>
                <w:tab w:val="left" w:pos="5400"/>
              </w:tabs>
              <w:spacing w:line="240" w:lineRule="auto"/>
            </w:pPr>
            <w:r w:rsidRPr="00A7048E">
              <w:t>12</w:t>
            </w:r>
          </w:p>
        </w:tc>
      </w:tr>
    </w:tbl>
    <w:p w14:paraId="642B3D2C" w14:textId="16C4C04D" w:rsidR="00A7048E" w:rsidRPr="00A7048E" w:rsidRDefault="00A7048E" w:rsidP="00A7048E">
      <w:pPr>
        <w:tabs>
          <w:tab w:val="left" w:pos="5400"/>
        </w:tabs>
      </w:pPr>
      <w:r w:rsidRPr="00A7048E">
        <w:t xml:space="preserve">All statistics are provisional and should be treated as management information. </w:t>
      </w:r>
      <w:r w:rsidR="00B158AC">
        <w:br/>
        <w:t>Data was e</w:t>
      </w:r>
      <w:r w:rsidRPr="00A7048E">
        <w:t>xtracted from Police Scotland systems and are correct as of 16/04/2025</w:t>
      </w:r>
      <w:r w:rsidR="00B158AC">
        <w:br/>
        <w:t>T</w:t>
      </w:r>
      <w:r w:rsidRPr="00A7048E">
        <w:t xml:space="preserve">he number of hate crimes are a count of unique hate crimes. </w:t>
      </w:r>
      <w:r w:rsidR="00B158AC">
        <w:br/>
      </w:r>
      <w:r w:rsidRPr="00A7048E">
        <w:t>Multiple aggravators can be added to the one hate crime.</w:t>
      </w:r>
      <w:r w:rsidR="00B158AC">
        <w:br/>
        <w:t>D</w:t>
      </w:r>
      <w:r w:rsidRPr="00A7048E">
        <w:t>ue to different sources of data being used, and different methodology/counting rules, comparison of recorded hates crimes from 1 April 2024 with recorded hate crimes prior to 1 April 2024 would not be advised.  Any comparison of the two datasets should be carried out with caution.</w:t>
      </w:r>
    </w:p>
    <w:p w14:paraId="2AD4D935" w14:textId="77777777" w:rsidR="00A7048E" w:rsidRPr="005D0712" w:rsidRDefault="00A7048E" w:rsidP="005D0712">
      <w:pPr>
        <w:tabs>
          <w:tab w:val="left" w:pos="5400"/>
        </w:tabs>
      </w:pPr>
    </w:p>
    <w:p w14:paraId="0069C921" w14:textId="77777777" w:rsidR="00B158AC" w:rsidRDefault="00B158AC">
      <w:pPr>
        <w:rPr>
          <w:b/>
          <w:bCs/>
        </w:rPr>
      </w:pPr>
      <w:r>
        <w:rPr>
          <w:b/>
          <w:bCs/>
        </w:rPr>
        <w:br w:type="page"/>
      </w:r>
    </w:p>
    <w:p w14:paraId="6E7B8126" w14:textId="581D8AFC" w:rsidR="005D0712" w:rsidRDefault="005D0712" w:rsidP="001C7E76">
      <w:pPr>
        <w:pStyle w:val="ListParagraph"/>
        <w:numPr>
          <w:ilvl w:val="0"/>
          <w:numId w:val="2"/>
        </w:numPr>
        <w:tabs>
          <w:tab w:val="left" w:pos="5400"/>
        </w:tabs>
        <w:rPr>
          <w:b/>
          <w:bCs/>
        </w:rPr>
      </w:pPr>
      <w:r w:rsidRPr="001C7E76">
        <w:rPr>
          <w:b/>
          <w:bCs/>
        </w:rPr>
        <w:lastRenderedPageBreak/>
        <w:t>What is the process for reviewing and handling complaints related to the recording of non-crime hate incidents? How are individuals notified if a non-crime hate incident has been recorded against them?</w:t>
      </w:r>
    </w:p>
    <w:p w14:paraId="3576E389" w14:textId="77777777" w:rsidR="00801CFA" w:rsidRPr="00801CFA" w:rsidRDefault="00801CFA" w:rsidP="00801CFA">
      <w:pPr>
        <w:tabs>
          <w:tab w:val="left" w:pos="5400"/>
        </w:tabs>
      </w:pPr>
      <w:r w:rsidRPr="00801CFA">
        <w:t>The information sought is held by Police Scotland, but I am refusing to provide it in terms of section 16(1) of the Act on the basis that the section 25(1) exemption applies:</w:t>
      </w:r>
    </w:p>
    <w:p w14:paraId="2D03CB46" w14:textId="77777777" w:rsidR="00801CFA" w:rsidRPr="00801CFA" w:rsidRDefault="00801CFA" w:rsidP="00801CFA">
      <w:r w:rsidRPr="00801CFA">
        <w:t>“Information which the applicant can reasonably obtain other than by requesting it […] is exempt information”.</w:t>
      </w:r>
    </w:p>
    <w:p w14:paraId="650E2B36" w14:textId="77777777" w:rsidR="00B158AC" w:rsidRDefault="00801CFA" w:rsidP="00801CFA">
      <w:pPr>
        <w:tabs>
          <w:tab w:val="left" w:pos="5400"/>
        </w:tabs>
      </w:pPr>
      <w:r w:rsidRPr="00801CFA">
        <w:t>The information sought is publicly available</w:t>
      </w:r>
      <w:r w:rsidR="00B158AC">
        <w:t xml:space="preserve"> in our </w:t>
      </w:r>
      <w:hyperlink r:id="rId13" w:tooltip="Complaints About The Police SOP" w:history="1">
        <w:r w:rsidR="00B158AC" w:rsidRPr="00B158AC">
          <w:rPr>
            <w:rStyle w:val="Hyperlink"/>
          </w:rPr>
          <w:t>Complaints About the Police SOP</w:t>
        </w:r>
      </w:hyperlink>
      <w:r w:rsidR="00B158AC">
        <w:t xml:space="preserve">. </w:t>
      </w:r>
    </w:p>
    <w:p w14:paraId="0CBCBDCB" w14:textId="4C9A252C" w:rsidR="001C7E76" w:rsidRPr="00801CFA" w:rsidRDefault="00801CFA" w:rsidP="00801CFA">
      <w:r w:rsidRPr="00801CFA">
        <w:t>In terms of notification, i</w:t>
      </w:r>
      <w:r w:rsidRPr="001C7E76">
        <w:t xml:space="preserve">n line with page 21 of </w:t>
      </w:r>
      <w:r w:rsidRPr="00801CFA">
        <w:t xml:space="preserve">the Responding to Hate SOP, </w:t>
      </w:r>
      <w:r w:rsidRPr="001C7E76">
        <w:t>the “other party’s” details will not routinely be recorded. They should only be recorded in exceptional circumstances where the additional threshold has been met that the officers/staff believe there is a real risk of significant harm to individuals or groups”</w:t>
      </w:r>
      <w:r w:rsidRPr="00801CFA">
        <w:t>.</w:t>
      </w:r>
    </w:p>
    <w:p w14:paraId="62577EF1" w14:textId="77777777" w:rsidR="00801CFA" w:rsidRPr="005D0712" w:rsidRDefault="00801CFA" w:rsidP="00801CFA"/>
    <w:p w14:paraId="13168DA9" w14:textId="286C822B" w:rsidR="005D0712" w:rsidRPr="001C7E76" w:rsidRDefault="005D0712" w:rsidP="001C7E76">
      <w:pPr>
        <w:pStyle w:val="ListParagraph"/>
        <w:numPr>
          <w:ilvl w:val="0"/>
          <w:numId w:val="2"/>
        </w:numPr>
        <w:tabs>
          <w:tab w:val="left" w:pos="5400"/>
        </w:tabs>
        <w:rPr>
          <w:b/>
          <w:bCs/>
        </w:rPr>
      </w:pPr>
      <w:r w:rsidRPr="001C7E76">
        <w:rPr>
          <w:b/>
          <w:bCs/>
        </w:rPr>
        <w:t>What are the policies and procedures for disclosing information about non-crime hate incidents in enhanced criminal record certificates (ECRCs)? Please provide specific details on the factors considered in making disclosure decisions.</w:t>
      </w:r>
    </w:p>
    <w:p w14:paraId="511484E5" w14:textId="77777777" w:rsidR="003B63DB" w:rsidRPr="003B63DB" w:rsidRDefault="003B63DB" w:rsidP="003B63DB">
      <w:pPr>
        <w:tabs>
          <w:tab w:val="left" w:pos="5400"/>
        </w:tabs>
        <w:rPr>
          <w:rFonts w:eastAsiaTheme="majorEastAsia" w:cstheme="majorBidi"/>
          <w:bCs/>
          <w:color w:val="000000" w:themeColor="text1"/>
          <w:szCs w:val="26"/>
        </w:rPr>
      </w:pPr>
      <w:r w:rsidRPr="003B63DB">
        <w:rPr>
          <w:rFonts w:eastAsiaTheme="majorEastAsia" w:cstheme="majorBidi"/>
          <w:bCs/>
          <w:color w:val="000000" w:themeColor="text1"/>
          <w:szCs w:val="26"/>
        </w:rPr>
        <w:t>The information sought is not held by Police Scotland and section 17 of the Act therefore applies.</w:t>
      </w:r>
    </w:p>
    <w:p w14:paraId="7C137554" w14:textId="64DF54E1" w:rsidR="001C7E76" w:rsidRDefault="003B63DB" w:rsidP="003B63DB">
      <w:r>
        <w:t xml:space="preserve">Police Scotland does not hold any polices or procedures relating to the disclosure of non-crime hate incidents within enhanced record certificates. You may wish to direct your request to Disclosure Scotland. </w:t>
      </w:r>
    </w:p>
    <w:p w14:paraId="731C0A9E" w14:textId="77777777" w:rsidR="00B158AC" w:rsidRDefault="00B158AC" w:rsidP="003B63DB"/>
    <w:p w14:paraId="4A948B5E" w14:textId="32F57415" w:rsidR="003B63DB" w:rsidRDefault="005D0712" w:rsidP="003B63DB">
      <w:pPr>
        <w:pStyle w:val="ListParagraph"/>
        <w:numPr>
          <w:ilvl w:val="0"/>
          <w:numId w:val="2"/>
        </w:numPr>
        <w:tabs>
          <w:tab w:val="left" w:pos="5400"/>
        </w:tabs>
        <w:rPr>
          <w:b/>
          <w:bCs/>
        </w:rPr>
      </w:pPr>
      <w:r w:rsidRPr="001C7E76">
        <w:rPr>
          <w:b/>
          <w:bCs/>
        </w:rPr>
        <w:t>What steps are being taken to ensure that the recording and investigation of hate crimes, including non-crime hate incidents, comply with the Human Rights Act 1998, particularly Article 10 (freedom of expression)?</w:t>
      </w:r>
    </w:p>
    <w:p w14:paraId="79A6ADD4" w14:textId="32BE5375" w:rsidR="001C7E76" w:rsidRDefault="003B63DB" w:rsidP="003B63DB">
      <w:pPr>
        <w:tabs>
          <w:tab w:val="left" w:pos="5400"/>
        </w:tabs>
        <w:rPr>
          <w:b/>
          <w:bCs/>
          <w:spacing w:val="3"/>
        </w:rPr>
      </w:pPr>
      <w:r w:rsidRPr="003B63DB">
        <w:rPr>
          <w:spacing w:val="3"/>
        </w:rPr>
        <w:t xml:space="preserve">Please see </w:t>
      </w:r>
      <w:r w:rsidR="001C7E76" w:rsidRPr="003B63DB">
        <w:rPr>
          <w:spacing w:val="3"/>
        </w:rPr>
        <w:t>Section 4 within the</w:t>
      </w:r>
      <w:r w:rsidRPr="003B63DB">
        <w:rPr>
          <w:spacing w:val="3"/>
        </w:rPr>
        <w:t xml:space="preserve"> Responding to Hate SOP, linked above.</w:t>
      </w:r>
      <w:r w:rsidR="001C7E76" w:rsidRPr="003B63DB">
        <w:rPr>
          <w:b/>
          <w:bCs/>
          <w:spacing w:val="3"/>
        </w:rPr>
        <w:t xml:space="preserve"> </w:t>
      </w:r>
    </w:p>
    <w:p w14:paraId="0677AFC6" w14:textId="77777777" w:rsidR="00801CFA" w:rsidRPr="003B63DB" w:rsidRDefault="00801CFA" w:rsidP="003B63DB">
      <w:pPr>
        <w:tabs>
          <w:tab w:val="left" w:pos="5400"/>
        </w:tabs>
        <w:rPr>
          <w:b/>
          <w:bCs/>
        </w:rPr>
      </w:pPr>
    </w:p>
    <w:p w14:paraId="0E3BAA73" w14:textId="77777777" w:rsidR="00B158AC" w:rsidRDefault="00B158AC">
      <w:pPr>
        <w:rPr>
          <w:b/>
          <w:bCs/>
        </w:rPr>
      </w:pPr>
      <w:r>
        <w:rPr>
          <w:b/>
          <w:bCs/>
        </w:rPr>
        <w:br w:type="page"/>
      </w:r>
    </w:p>
    <w:p w14:paraId="75ACBD48" w14:textId="5DAB4324" w:rsidR="005D0712" w:rsidRPr="005D0712" w:rsidRDefault="005D0712" w:rsidP="00B158AC">
      <w:pPr>
        <w:pStyle w:val="ListParagraph"/>
        <w:numPr>
          <w:ilvl w:val="0"/>
          <w:numId w:val="2"/>
        </w:numPr>
        <w:tabs>
          <w:tab w:val="left" w:pos="5400"/>
        </w:tabs>
      </w:pPr>
      <w:r w:rsidRPr="00B158AC">
        <w:rPr>
          <w:b/>
          <w:bCs/>
        </w:rPr>
        <w:lastRenderedPageBreak/>
        <w:t>What measures are in place to evaluate the effectiveness of the Hate Crime and Public Order (Scotland) Act 2021 in reducing hate crimes and protecting vulnerable groups? What data is being collected and analysed to assess the Act's impact?</w:t>
      </w:r>
    </w:p>
    <w:p w14:paraId="6A5E0BFD" w14:textId="77777777" w:rsidR="001C7E76" w:rsidRDefault="001C7E76" w:rsidP="001C7E76">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 xml:space="preserve">The information sought is not held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34BDABBD" w14:textId="1E6DFCD8" w:rsidR="00BF6B81" w:rsidRPr="001C7E76" w:rsidRDefault="001C7E76" w:rsidP="00793DD5">
      <w:pPr>
        <w:tabs>
          <w:tab w:val="left" w:pos="5400"/>
        </w:tabs>
        <w:rPr>
          <w:b/>
          <w:bCs/>
        </w:rPr>
      </w:pPr>
      <w:r>
        <w:t xml:space="preserve">By way of explanation, the Hate Crime and Public Order (Scotland) Act 2021, </w:t>
      </w:r>
      <w:r w:rsidRPr="001C7E76">
        <w:t>is Scottish Government legislation</w:t>
      </w:r>
      <w:r>
        <w:t>. Police Scotland does not hold any information relating to the effectiveness of the Act. You may wish to direct your question to the Scottish Government.</w:t>
      </w:r>
    </w:p>
    <w:p w14:paraId="145B1391" w14:textId="77777777" w:rsidR="00801CFA" w:rsidRDefault="00801CFA" w:rsidP="00793DD5"/>
    <w:p w14:paraId="34BDABBE" w14:textId="51ADD1EB"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4"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5" w:history="1">
        <w:r w:rsidRPr="007C470A">
          <w:rPr>
            <w:rStyle w:val="Hyperlink"/>
          </w:rPr>
          <w:t>online</w:t>
        </w:r>
      </w:hyperlink>
      <w:r w:rsidRPr="007C470A">
        <w:t>,</w:t>
      </w:r>
      <w:r>
        <w:t xml:space="preserve"> by</w:t>
      </w:r>
      <w:r w:rsidRPr="007C470A">
        <w:t xml:space="preserve"> </w:t>
      </w:r>
      <w:hyperlink r:id="rId16"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7"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450E35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E9CA84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AD40CD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47439A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4E98484"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2E1310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62CF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10A79"/>
    <w:multiLevelType w:val="hybridMultilevel"/>
    <w:tmpl w:val="336E86F4"/>
    <w:lvl w:ilvl="0" w:tplc="C47C43D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457378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00781"/>
    <w:rsid w:val="00141533"/>
    <w:rsid w:val="00151DD0"/>
    <w:rsid w:val="00167528"/>
    <w:rsid w:val="00195CC4"/>
    <w:rsid w:val="001A288B"/>
    <w:rsid w:val="001C7E76"/>
    <w:rsid w:val="00207326"/>
    <w:rsid w:val="00253DF6"/>
    <w:rsid w:val="00255F1E"/>
    <w:rsid w:val="002F5274"/>
    <w:rsid w:val="0036503B"/>
    <w:rsid w:val="003721C4"/>
    <w:rsid w:val="00376A4A"/>
    <w:rsid w:val="003B63DB"/>
    <w:rsid w:val="003C7384"/>
    <w:rsid w:val="003D6D03"/>
    <w:rsid w:val="003E12CA"/>
    <w:rsid w:val="004010DC"/>
    <w:rsid w:val="004341F0"/>
    <w:rsid w:val="00456324"/>
    <w:rsid w:val="00475460"/>
    <w:rsid w:val="00490317"/>
    <w:rsid w:val="00491644"/>
    <w:rsid w:val="00496A08"/>
    <w:rsid w:val="004E1605"/>
    <w:rsid w:val="004F653C"/>
    <w:rsid w:val="00540A52"/>
    <w:rsid w:val="00557306"/>
    <w:rsid w:val="005D0712"/>
    <w:rsid w:val="00645CFA"/>
    <w:rsid w:val="00685219"/>
    <w:rsid w:val="006D5799"/>
    <w:rsid w:val="006F1E93"/>
    <w:rsid w:val="007440EA"/>
    <w:rsid w:val="00750D83"/>
    <w:rsid w:val="00785DBC"/>
    <w:rsid w:val="00793DD5"/>
    <w:rsid w:val="007D55F6"/>
    <w:rsid w:val="007F490F"/>
    <w:rsid w:val="00801CFA"/>
    <w:rsid w:val="00850362"/>
    <w:rsid w:val="0086779C"/>
    <w:rsid w:val="00874BFD"/>
    <w:rsid w:val="008964EF"/>
    <w:rsid w:val="008D6060"/>
    <w:rsid w:val="00915E01"/>
    <w:rsid w:val="00935E43"/>
    <w:rsid w:val="009631A4"/>
    <w:rsid w:val="00977296"/>
    <w:rsid w:val="00A25E93"/>
    <w:rsid w:val="00A320FF"/>
    <w:rsid w:val="00A7048E"/>
    <w:rsid w:val="00A70AC0"/>
    <w:rsid w:val="00A84EA9"/>
    <w:rsid w:val="00AB3C52"/>
    <w:rsid w:val="00AC443C"/>
    <w:rsid w:val="00B033D6"/>
    <w:rsid w:val="00B11A55"/>
    <w:rsid w:val="00B158AC"/>
    <w:rsid w:val="00B17211"/>
    <w:rsid w:val="00B461B2"/>
    <w:rsid w:val="00B654B6"/>
    <w:rsid w:val="00B71B3C"/>
    <w:rsid w:val="00B977C0"/>
    <w:rsid w:val="00BA2CA8"/>
    <w:rsid w:val="00BC389E"/>
    <w:rsid w:val="00BE1888"/>
    <w:rsid w:val="00BF6B81"/>
    <w:rsid w:val="00C077A8"/>
    <w:rsid w:val="00C14FF4"/>
    <w:rsid w:val="00C1679F"/>
    <w:rsid w:val="00C606A2"/>
    <w:rsid w:val="00C63872"/>
    <w:rsid w:val="00C84948"/>
    <w:rsid w:val="00C94ED8"/>
    <w:rsid w:val="00CF1111"/>
    <w:rsid w:val="00D05706"/>
    <w:rsid w:val="00D27DC5"/>
    <w:rsid w:val="00D47E36"/>
    <w:rsid w:val="00E25AB4"/>
    <w:rsid w:val="00E55D79"/>
    <w:rsid w:val="00E62CFA"/>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977C0"/>
    <w:rPr>
      <w:color w:val="605E5C"/>
      <w:shd w:val="clear" w:color="auto" w:fill="E1DFDD"/>
    </w:rPr>
  </w:style>
  <w:style w:type="character" w:styleId="FollowedHyperlink">
    <w:name w:val="FollowedHyperlink"/>
    <w:basedOn w:val="DefaultParagraphFont"/>
    <w:uiPriority w:val="99"/>
    <w:semiHidden/>
    <w:unhideWhenUsed/>
    <w:rsid w:val="00B977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95238">
      <w:bodyDiv w:val="1"/>
      <w:marLeft w:val="0"/>
      <w:marRight w:val="0"/>
      <w:marTop w:val="0"/>
      <w:marBottom w:val="0"/>
      <w:divBdr>
        <w:top w:val="none" w:sz="0" w:space="0" w:color="auto"/>
        <w:left w:val="none" w:sz="0" w:space="0" w:color="auto"/>
        <w:bottom w:val="none" w:sz="0" w:space="0" w:color="auto"/>
        <w:right w:val="none" w:sz="0" w:space="0" w:color="auto"/>
      </w:divBdr>
    </w:div>
    <w:div w:id="252083693">
      <w:bodyDiv w:val="1"/>
      <w:marLeft w:val="0"/>
      <w:marRight w:val="0"/>
      <w:marTop w:val="0"/>
      <w:marBottom w:val="0"/>
      <w:divBdr>
        <w:top w:val="none" w:sz="0" w:space="0" w:color="auto"/>
        <w:left w:val="none" w:sz="0" w:space="0" w:color="auto"/>
        <w:bottom w:val="none" w:sz="0" w:space="0" w:color="auto"/>
        <w:right w:val="none" w:sz="0" w:space="0" w:color="auto"/>
      </w:divBdr>
    </w:div>
    <w:div w:id="350229611">
      <w:bodyDiv w:val="1"/>
      <w:marLeft w:val="0"/>
      <w:marRight w:val="0"/>
      <w:marTop w:val="0"/>
      <w:marBottom w:val="0"/>
      <w:divBdr>
        <w:top w:val="none" w:sz="0" w:space="0" w:color="auto"/>
        <w:left w:val="none" w:sz="0" w:space="0" w:color="auto"/>
        <w:bottom w:val="none" w:sz="0" w:space="0" w:color="auto"/>
        <w:right w:val="none" w:sz="0" w:space="0" w:color="auto"/>
      </w:divBdr>
    </w:div>
    <w:div w:id="374089369">
      <w:bodyDiv w:val="1"/>
      <w:marLeft w:val="0"/>
      <w:marRight w:val="0"/>
      <w:marTop w:val="0"/>
      <w:marBottom w:val="0"/>
      <w:divBdr>
        <w:top w:val="none" w:sz="0" w:space="0" w:color="auto"/>
        <w:left w:val="none" w:sz="0" w:space="0" w:color="auto"/>
        <w:bottom w:val="none" w:sz="0" w:space="0" w:color="auto"/>
        <w:right w:val="none" w:sz="0" w:space="0" w:color="auto"/>
      </w:divBdr>
    </w:div>
    <w:div w:id="390465836">
      <w:bodyDiv w:val="1"/>
      <w:marLeft w:val="0"/>
      <w:marRight w:val="0"/>
      <w:marTop w:val="0"/>
      <w:marBottom w:val="0"/>
      <w:divBdr>
        <w:top w:val="none" w:sz="0" w:space="0" w:color="auto"/>
        <w:left w:val="none" w:sz="0" w:space="0" w:color="auto"/>
        <w:bottom w:val="none" w:sz="0" w:space="0" w:color="auto"/>
        <w:right w:val="none" w:sz="0" w:space="0" w:color="auto"/>
      </w:divBdr>
    </w:div>
    <w:div w:id="510536476">
      <w:bodyDiv w:val="1"/>
      <w:marLeft w:val="0"/>
      <w:marRight w:val="0"/>
      <w:marTop w:val="0"/>
      <w:marBottom w:val="0"/>
      <w:divBdr>
        <w:top w:val="none" w:sz="0" w:space="0" w:color="auto"/>
        <w:left w:val="none" w:sz="0" w:space="0" w:color="auto"/>
        <w:bottom w:val="none" w:sz="0" w:space="0" w:color="auto"/>
        <w:right w:val="none" w:sz="0" w:space="0" w:color="auto"/>
      </w:divBdr>
    </w:div>
    <w:div w:id="553083366">
      <w:bodyDiv w:val="1"/>
      <w:marLeft w:val="0"/>
      <w:marRight w:val="0"/>
      <w:marTop w:val="0"/>
      <w:marBottom w:val="0"/>
      <w:divBdr>
        <w:top w:val="none" w:sz="0" w:space="0" w:color="auto"/>
        <w:left w:val="none" w:sz="0" w:space="0" w:color="auto"/>
        <w:bottom w:val="none" w:sz="0" w:space="0" w:color="auto"/>
        <w:right w:val="none" w:sz="0" w:space="0" w:color="auto"/>
      </w:divBdr>
    </w:div>
    <w:div w:id="553657053">
      <w:bodyDiv w:val="1"/>
      <w:marLeft w:val="0"/>
      <w:marRight w:val="0"/>
      <w:marTop w:val="0"/>
      <w:marBottom w:val="0"/>
      <w:divBdr>
        <w:top w:val="none" w:sz="0" w:space="0" w:color="auto"/>
        <w:left w:val="none" w:sz="0" w:space="0" w:color="auto"/>
        <w:bottom w:val="none" w:sz="0" w:space="0" w:color="auto"/>
        <w:right w:val="none" w:sz="0" w:space="0" w:color="auto"/>
      </w:divBdr>
    </w:div>
    <w:div w:id="988099949">
      <w:bodyDiv w:val="1"/>
      <w:marLeft w:val="0"/>
      <w:marRight w:val="0"/>
      <w:marTop w:val="0"/>
      <w:marBottom w:val="0"/>
      <w:divBdr>
        <w:top w:val="none" w:sz="0" w:space="0" w:color="auto"/>
        <w:left w:val="none" w:sz="0" w:space="0" w:color="auto"/>
        <w:bottom w:val="none" w:sz="0" w:space="0" w:color="auto"/>
        <w:right w:val="none" w:sz="0" w:space="0" w:color="auto"/>
      </w:divBdr>
    </w:div>
    <w:div w:id="1142505423">
      <w:bodyDiv w:val="1"/>
      <w:marLeft w:val="0"/>
      <w:marRight w:val="0"/>
      <w:marTop w:val="0"/>
      <w:marBottom w:val="0"/>
      <w:divBdr>
        <w:top w:val="none" w:sz="0" w:space="0" w:color="auto"/>
        <w:left w:val="none" w:sz="0" w:space="0" w:color="auto"/>
        <w:bottom w:val="none" w:sz="0" w:space="0" w:color="auto"/>
        <w:right w:val="none" w:sz="0" w:space="0" w:color="auto"/>
      </w:divBdr>
    </w:div>
    <w:div w:id="1256784180">
      <w:bodyDiv w:val="1"/>
      <w:marLeft w:val="0"/>
      <w:marRight w:val="0"/>
      <w:marTop w:val="0"/>
      <w:marBottom w:val="0"/>
      <w:divBdr>
        <w:top w:val="none" w:sz="0" w:space="0" w:color="auto"/>
        <w:left w:val="none" w:sz="0" w:space="0" w:color="auto"/>
        <w:bottom w:val="none" w:sz="0" w:space="0" w:color="auto"/>
        <w:right w:val="none" w:sz="0" w:space="0" w:color="auto"/>
      </w:divBdr>
    </w:div>
    <w:div w:id="1385987953">
      <w:bodyDiv w:val="1"/>
      <w:marLeft w:val="0"/>
      <w:marRight w:val="0"/>
      <w:marTop w:val="0"/>
      <w:marBottom w:val="0"/>
      <w:divBdr>
        <w:top w:val="none" w:sz="0" w:space="0" w:color="auto"/>
        <w:left w:val="none" w:sz="0" w:space="0" w:color="auto"/>
        <w:bottom w:val="none" w:sz="0" w:space="0" w:color="auto"/>
        <w:right w:val="none" w:sz="0" w:space="0" w:color="auto"/>
      </w:divBdr>
    </w:div>
    <w:div w:id="1470973373">
      <w:bodyDiv w:val="1"/>
      <w:marLeft w:val="0"/>
      <w:marRight w:val="0"/>
      <w:marTop w:val="0"/>
      <w:marBottom w:val="0"/>
      <w:divBdr>
        <w:top w:val="none" w:sz="0" w:space="0" w:color="auto"/>
        <w:left w:val="none" w:sz="0" w:space="0" w:color="auto"/>
        <w:bottom w:val="none" w:sz="0" w:space="0" w:color="auto"/>
        <w:right w:val="none" w:sz="0" w:space="0" w:color="auto"/>
      </w:divBdr>
    </w:div>
    <w:div w:id="1487161962">
      <w:bodyDiv w:val="1"/>
      <w:marLeft w:val="0"/>
      <w:marRight w:val="0"/>
      <w:marTop w:val="0"/>
      <w:marBottom w:val="0"/>
      <w:divBdr>
        <w:top w:val="none" w:sz="0" w:space="0" w:color="auto"/>
        <w:left w:val="none" w:sz="0" w:space="0" w:color="auto"/>
        <w:bottom w:val="none" w:sz="0" w:space="0" w:color="auto"/>
        <w:right w:val="none" w:sz="0" w:space="0" w:color="auto"/>
      </w:divBdr>
    </w:div>
    <w:div w:id="1765028635">
      <w:bodyDiv w:val="1"/>
      <w:marLeft w:val="0"/>
      <w:marRight w:val="0"/>
      <w:marTop w:val="0"/>
      <w:marBottom w:val="0"/>
      <w:divBdr>
        <w:top w:val="none" w:sz="0" w:space="0" w:color="auto"/>
        <w:left w:val="none" w:sz="0" w:space="0" w:color="auto"/>
        <w:bottom w:val="none" w:sz="0" w:space="0" w:color="auto"/>
        <w:right w:val="none" w:sz="0" w:space="0" w:color="auto"/>
      </w:divBdr>
    </w:div>
    <w:div w:id="1777097642">
      <w:bodyDiv w:val="1"/>
      <w:marLeft w:val="0"/>
      <w:marRight w:val="0"/>
      <w:marTop w:val="0"/>
      <w:marBottom w:val="0"/>
      <w:divBdr>
        <w:top w:val="none" w:sz="0" w:space="0" w:color="auto"/>
        <w:left w:val="none" w:sz="0" w:space="0" w:color="auto"/>
        <w:bottom w:val="none" w:sz="0" w:space="0" w:color="auto"/>
        <w:right w:val="none" w:sz="0" w:space="0" w:color="auto"/>
      </w:divBdr>
    </w:div>
    <w:div w:id="1994137310">
      <w:bodyDiv w:val="1"/>
      <w:marLeft w:val="0"/>
      <w:marRight w:val="0"/>
      <w:marTop w:val="0"/>
      <w:marBottom w:val="0"/>
      <w:divBdr>
        <w:top w:val="none" w:sz="0" w:space="0" w:color="auto"/>
        <w:left w:val="none" w:sz="0" w:space="0" w:color="auto"/>
        <w:bottom w:val="none" w:sz="0" w:space="0" w:color="auto"/>
        <w:right w:val="none" w:sz="0" w:space="0" w:color="auto"/>
      </w:divBdr>
    </w:div>
    <w:div w:id="2073312759">
      <w:bodyDiv w:val="1"/>
      <w:marLeft w:val="0"/>
      <w:marRight w:val="0"/>
      <w:marTop w:val="0"/>
      <w:marBottom w:val="0"/>
      <w:divBdr>
        <w:top w:val="none" w:sz="0" w:space="0" w:color="auto"/>
        <w:left w:val="none" w:sz="0" w:space="0" w:color="auto"/>
        <w:bottom w:val="none" w:sz="0" w:space="0" w:color="auto"/>
        <w:right w:val="none" w:sz="0" w:space="0" w:color="auto"/>
      </w:divBdr>
    </w:div>
    <w:div w:id="210923410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land.police.uk/spa-media/lgyddvsi/complaints-about-the-police-sop.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gov.scot/publications/scottish-crime-recording-standard-crime-recording-counting-rules/" TargetMode="External"/><Relationship Id="rId17" Type="http://schemas.openxmlformats.org/officeDocument/2006/relationships/hyperlink" Target="http://www.scotland.police.uk/access-to-information/freedom-of-information/disclosure-lo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nquiries@foi.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rfwdhysd/responding-to-hate-psos-sop-publication-scheme.doc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i.scot/appeal"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oi@scotland.police.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996</Words>
  <Characters>5682</Characters>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2025-05-06T17:20:00Z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