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D02305" w:rsidR="00B17211" w:rsidRPr="00B17211" w:rsidRDefault="00B17211" w:rsidP="007F490F">
            <w:r w:rsidRPr="007F490F">
              <w:rPr>
                <w:rStyle w:val="Heading2Char"/>
              </w:rPr>
              <w:t>Our reference:</w:t>
            </w:r>
            <w:r>
              <w:t xml:space="preserve">  FOI 2</w:t>
            </w:r>
            <w:r w:rsidR="00EF0FBB">
              <w:t>5</w:t>
            </w:r>
            <w:r>
              <w:t>-</w:t>
            </w:r>
            <w:r w:rsidR="00027CCB">
              <w:t>3732</w:t>
            </w:r>
          </w:p>
          <w:p w14:paraId="34BDABA6" w14:textId="44DBADEB" w:rsidR="00B17211" w:rsidRDefault="00456324" w:rsidP="00EE2373">
            <w:r w:rsidRPr="007F490F">
              <w:rPr>
                <w:rStyle w:val="Heading2Char"/>
              </w:rPr>
              <w:t>Respon</w:t>
            </w:r>
            <w:r w:rsidR="007D55F6">
              <w:rPr>
                <w:rStyle w:val="Heading2Char"/>
              </w:rPr>
              <w:t>ded to:</w:t>
            </w:r>
            <w:r w:rsidR="007F490F">
              <w:t xml:space="preserve">  </w:t>
            </w:r>
            <w:r w:rsidR="00BB460B">
              <w:t>16</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2613235" w14:textId="77777777" w:rsidR="00027CCB" w:rsidRPr="00027CCB" w:rsidRDefault="00027CCB" w:rsidP="00027CCB">
      <w:pPr>
        <w:tabs>
          <w:tab w:val="left" w:pos="5400"/>
        </w:tabs>
        <w:rPr>
          <w:rFonts w:eastAsiaTheme="majorEastAsia" w:cstheme="majorBidi"/>
          <w:b/>
          <w:color w:val="000000" w:themeColor="text1"/>
          <w:szCs w:val="26"/>
        </w:rPr>
      </w:pPr>
      <w:r w:rsidRPr="00027CCB">
        <w:rPr>
          <w:rFonts w:eastAsiaTheme="majorEastAsia" w:cstheme="majorBidi"/>
          <w:b/>
          <w:color w:val="000000" w:themeColor="text1"/>
          <w:szCs w:val="26"/>
        </w:rPr>
        <w:t>Copies of each "notable incident report" between January 1, 2024 and December 31, 2024, in A Division and N Division where there was incorrect or missing information, a failure, delay or wrong transfer incident, and/or a failure to identify risk.</w:t>
      </w:r>
    </w:p>
    <w:p w14:paraId="599521E0" w14:textId="77777777" w:rsidR="00027CCB" w:rsidRPr="00027CCB" w:rsidRDefault="00027CCB" w:rsidP="00027CCB">
      <w:pPr>
        <w:tabs>
          <w:tab w:val="left" w:pos="5400"/>
        </w:tabs>
        <w:rPr>
          <w:rFonts w:eastAsiaTheme="majorEastAsia" w:cstheme="majorBidi"/>
          <w:b/>
          <w:color w:val="000000" w:themeColor="text1"/>
          <w:szCs w:val="26"/>
        </w:rPr>
      </w:pPr>
      <w:r w:rsidRPr="00027CCB">
        <w:rPr>
          <w:rFonts w:eastAsiaTheme="majorEastAsia" w:cstheme="majorBidi"/>
          <w:b/>
          <w:color w:val="000000" w:themeColor="text1"/>
          <w:szCs w:val="26"/>
        </w:rPr>
        <w:t>Copies of each "notable incident report" between January 1, 2025 and November 1, 2025, in A Division and N Division where there was incorrect or missing information, a failure, delay or wrong transfer incident, and/or a failure to identify risk.</w:t>
      </w:r>
    </w:p>
    <w:p w14:paraId="38A4111A" w14:textId="77777777" w:rsidR="00B45D05" w:rsidRDefault="005871A5" w:rsidP="00793DD5">
      <w:pPr>
        <w:tabs>
          <w:tab w:val="left" w:pos="5400"/>
        </w:tabs>
      </w:pPr>
      <w:r w:rsidRPr="005871A5">
        <w:t xml:space="preserve">The information sought is held by Police Scotland, but I am refusing to provide it in terms of section 16(1) of the Act on the basis that the exemption set out at section 38(1)(b) of the Act applies - personal data. Personal data is defined in Article 4 of the General Data Protection Regulation (GDPR) as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Section 38(2A) of the Act provides that personal data is exempt from disclosure where disclosure would contravene any of the data protection principles set out at Article 5(1) of the GDPR which states that: ‘Personal data shall be processed lawfully, fairly and in a transparent manner in relation to the data subject’. Article 6 of the GDPR goes on to state that processing shall be lawful only if certain conditions are met. The only potentially applicable condition is Article 6(1)(f) which states: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Whilst I accept that you may have a legitimate interest with regards the disclosure of this information, I do not agree that disclosure could be considered necessary in the circumstances. Notwithstanding, I am further of the view that your </w:t>
      </w:r>
      <w:r w:rsidRPr="005871A5">
        <w:lastRenderedPageBreak/>
        <w:t xml:space="preserve">interests are overridden by the interests or fundamental rights and freedoms of the data subjects. On that basis, it is considered that disclosure of the information sought would be unlawful. </w:t>
      </w:r>
    </w:p>
    <w:p w14:paraId="34BDABB8" w14:textId="32B3D94C" w:rsidR="00255F1E" w:rsidRPr="00B11A55" w:rsidRDefault="005871A5" w:rsidP="00793DD5">
      <w:pPr>
        <w:tabs>
          <w:tab w:val="left" w:pos="5400"/>
        </w:tabs>
      </w:pPr>
      <w:r w:rsidRPr="005871A5">
        <w:t>Section 34(1)(b) of the Act would also apply insofar as any incident reported to the police is held for the purposes of an investigation which may, in the circumstances, result in the submission of a report to the Crown Office and Procurator Fiscal Service (COPFS).</w:t>
      </w:r>
    </w:p>
    <w:p w14:paraId="34BDABBD" w14:textId="3FAD2762" w:rsidR="00BF6B81" w:rsidRDefault="005871A5" w:rsidP="00793DD5">
      <w:pPr>
        <w:tabs>
          <w:tab w:val="left" w:pos="5400"/>
        </w:tabs>
      </w:pPr>
      <w:r>
        <w:t>To be of assistance</w:t>
      </w:r>
      <w:r w:rsidR="00B45D05">
        <w:t xml:space="preserve">, </w:t>
      </w:r>
      <w:r>
        <w:t xml:space="preserve">the table below </w:t>
      </w:r>
      <w:r w:rsidR="00B45D05">
        <w:t>details</w:t>
      </w:r>
      <w:r>
        <w:t xml:space="preserve"> “Notable Incident” reports held for 2024 and 2025 in both A and N Divisions.</w:t>
      </w:r>
      <w:r>
        <w:br/>
      </w:r>
    </w:p>
    <w:tbl>
      <w:tblPr>
        <w:tblStyle w:val="TableGrid"/>
        <w:tblW w:w="5213" w:type="dxa"/>
        <w:tblLook w:val="04A0" w:firstRow="1" w:lastRow="0" w:firstColumn="1" w:lastColumn="0" w:noHBand="0" w:noVBand="1"/>
        <w:tblCaption w:val="Table 01"/>
        <w:tblDescription w:val="Notable Inicidents 2024-2025 - TOTALS"/>
      </w:tblPr>
      <w:tblGrid>
        <w:gridCol w:w="3445"/>
        <w:gridCol w:w="884"/>
        <w:gridCol w:w="884"/>
      </w:tblGrid>
      <w:tr w:rsidR="00B45D05" w:rsidRPr="00B45D05" w14:paraId="796A1006" w14:textId="77777777" w:rsidTr="00B45D05">
        <w:tc>
          <w:tcPr>
            <w:tcW w:w="3445" w:type="dxa"/>
            <w:shd w:val="clear" w:color="auto" w:fill="D0CECE" w:themeFill="background2" w:themeFillShade="E6"/>
          </w:tcPr>
          <w:p w14:paraId="6AB07CE4" w14:textId="0D2C1078" w:rsidR="00B45D05" w:rsidRPr="00B45D05" w:rsidRDefault="00B45D05" w:rsidP="00B45D05">
            <w:pPr>
              <w:tabs>
                <w:tab w:val="left" w:pos="5400"/>
              </w:tabs>
              <w:spacing w:line="240" w:lineRule="auto"/>
              <w:rPr>
                <w:b/>
                <w:bCs/>
                <w:color w:val="000000"/>
              </w:rPr>
            </w:pPr>
            <w:r>
              <w:rPr>
                <w:b/>
                <w:bCs/>
                <w:color w:val="000000"/>
              </w:rPr>
              <w:t>Year</w:t>
            </w:r>
          </w:p>
        </w:tc>
        <w:tc>
          <w:tcPr>
            <w:tcW w:w="884" w:type="dxa"/>
            <w:shd w:val="clear" w:color="auto" w:fill="D0CECE" w:themeFill="background2" w:themeFillShade="E6"/>
            <w:vAlign w:val="bottom"/>
          </w:tcPr>
          <w:p w14:paraId="6E88C85F" w14:textId="65AAF61C" w:rsidR="00B45D05" w:rsidRPr="00B45D05" w:rsidRDefault="00B45D05" w:rsidP="00B45D05">
            <w:pPr>
              <w:tabs>
                <w:tab w:val="left" w:pos="5400"/>
              </w:tabs>
              <w:spacing w:line="240" w:lineRule="auto"/>
              <w:rPr>
                <w:b/>
                <w:bCs/>
              </w:rPr>
            </w:pPr>
            <w:r w:rsidRPr="00B45D05">
              <w:rPr>
                <w:b/>
                <w:bCs/>
                <w:color w:val="000000"/>
              </w:rPr>
              <w:t>2024</w:t>
            </w:r>
          </w:p>
        </w:tc>
        <w:tc>
          <w:tcPr>
            <w:tcW w:w="884" w:type="dxa"/>
            <w:shd w:val="clear" w:color="auto" w:fill="D0CECE" w:themeFill="background2" w:themeFillShade="E6"/>
            <w:vAlign w:val="bottom"/>
          </w:tcPr>
          <w:p w14:paraId="107BD369" w14:textId="3DFAABF1" w:rsidR="00B45D05" w:rsidRPr="00B45D05" w:rsidRDefault="00B45D05" w:rsidP="00B45D05">
            <w:pPr>
              <w:tabs>
                <w:tab w:val="left" w:pos="5400"/>
              </w:tabs>
              <w:spacing w:line="240" w:lineRule="auto"/>
              <w:rPr>
                <w:b/>
                <w:bCs/>
              </w:rPr>
            </w:pPr>
            <w:r w:rsidRPr="00B45D05">
              <w:rPr>
                <w:b/>
                <w:bCs/>
                <w:color w:val="000000"/>
              </w:rPr>
              <w:t>2025</w:t>
            </w:r>
          </w:p>
        </w:tc>
      </w:tr>
      <w:tr w:rsidR="00B45D05" w14:paraId="0FB06AB1" w14:textId="77777777" w:rsidTr="00B45D05">
        <w:tc>
          <w:tcPr>
            <w:tcW w:w="3445" w:type="dxa"/>
          </w:tcPr>
          <w:p w14:paraId="0D293CAE" w14:textId="498D8BFD" w:rsidR="00B45D05" w:rsidRPr="005871A5" w:rsidRDefault="00B45D05" w:rsidP="00B45D05">
            <w:pPr>
              <w:tabs>
                <w:tab w:val="left" w:pos="5400"/>
              </w:tabs>
              <w:spacing w:line="240" w:lineRule="auto"/>
              <w:rPr>
                <w:color w:val="000000"/>
              </w:rPr>
            </w:pPr>
            <w:r>
              <w:rPr>
                <w:color w:val="000000"/>
              </w:rPr>
              <w:t>No. of Notable Incident forms</w:t>
            </w:r>
          </w:p>
        </w:tc>
        <w:tc>
          <w:tcPr>
            <w:tcW w:w="884" w:type="dxa"/>
            <w:vAlign w:val="bottom"/>
          </w:tcPr>
          <w:p w14:paraId="10404C7D" w14:textId="0FB4262D" w:rsidR="00B45D05" w:rsidRPr="005871A5" w:rsidRDefault="00B45D05" w:rsidP="00B45D05">
            <w:pPr>
              <w:tabs>
                <w:tab w:val="left" w:pos="5400"/>
              </w:tabs>
              <w:spacing w:line="240" w:lineRule="auto"/>
            </w:pPr>
            <w:r w:rsidRPr="005871A5">
              <w:rPr>
                <w:color w:val="000000"/>
              </w:rPr>
              <w:t>7</w:t>
            </w:r>
          </w:p>
        </w:tc>
        <w:tc>
          <w:tcPr>
            <w:tcW w:w="884" w:type="dxa"/>
            <w:vAlign w:val="bottom"/>
          </w:tcPr>
          <w:p w14:paraId="0DC312AF" w14:textId="4296B317" w:rsidR="00B45D05" w:rsidRPr="005871A5" w:rsidRDefault="00B45D05" w:rsidP="00B45D05">
            <w:pPr>
              <w:tabs>
                <w:tab w:val="left" w:pos="5400"/>
              </w:tabs>
              <w:spacing w:line="240" w:lineRule="auto"/>
            </w:pPr>
            <w:r w:rsidRPr="005871A5">
              <w:rPr>
                <w:color w:val="000000"/>
              </w:rPr>
              <w:t>10</w:t>
            </w:r>
          </w:p>
        </w:tc>
      </w:tr>
    </w:tbl>
    <w:p w14:paraId="1E5E904A" w14:textId="77777777" w:rsidR="005871A5" w:rsidRDefault="005871A5" w:rsidP="00793DD5">
      <w:pPr>
        <w:tabs>
          <w:tab w:val="left" w:pos="5400"/>
        </w:tabs>
      </w:pPr>
    </w:p>
    <w:p w14:paraId="4C4099D0" w14:textId="3B7CA446" w:rsidR="009A4CB0" w:rsidRDefault="009A4CB0" w:rsidP="00793DD5">
      <w:pPr>
        <w:tabs>
          <w:tab w:val="left" w:pos="5400"/>
        </w:tabs>
      </w:pPr>
      <w:r>
        <w:t>Of these 17 Notable Incident reports, the reasons for submission are as follows:</w:t>
      </w:r>
    </w:p>
    <w:tbl>
      <w:tblPr>
        <w:tblStyle w:val="TableGrid"/>
        <w:tblW w:w="0" w:type="auto"/>
        <w:tblLook w:val="04A0" w:firstRow="1" w:lastRow="0" w:firstColumn="1" w:lastColumn="0" w:noHBand="0" w:noVBand="1"/>
        <w:tblCaption w:val="Table 02"/>
        <w:tblDescription w:val="Notable Inicidents 2024-2025 - Reason for submission"/>
      </w:tblPr>
      <w:tblGrid>
        <w:gridCol w:w="5766"/>
        <w:gridCol w:w="617"/>
      </w:tblGrid>
      <w:tr w:rsidR="00B45D05" w:rsidRPr="00B45D05" w14:paraId="72003709" w14:textId="77777777" w:rsidTr="00B45D05">
        <w:tc>
          <w:tcPr>
            <w:tcW w:w="5766" w:type="dxa"/>
            <w:shd w:val="clear" w:color="auto" w:fill="D9D9D9" w:themeFill="background1" w:themeFillShade="D9"/>
            <w:vAlign w:val="bottom"/>
          </w:tcPr>
          <w:p w14:paraId="5946DE9E" w14:textId="35CA3F47" w:rsidR="00B45D05" w:rsidRPr="00B45D05" w:rsidRDefault="00B45D05" w:rsidP="00B45D05">
            <w:pPr>
              <w:tabs>
                <w:tab w:val="left" w:pos="5400"/>
              </w:tabs>
              <w:spacing w:line="240" w:lineRule="auto"/>
              <w:rPr>
                <w:b/>
                <w:bCs/>
                <w:color w:val="000000"/>
              </w:rPr>
            </w:pPr>
            <w:r w:rsidRPr="00B45D05">
              <w:rPr>
                <w:b/>
                <w:bCs/>
                <w:color w:val="000000"/>
              </w:rPr>
              <w:t>Reason for submission</w:t>
            </w:r>
          </w:p>
        </w:tc>
        <w:tc>
          <w:tcPr>
            <w:tcW w:w="617" w:type="dxa"/>
            <w:shd w:val="clear" w:color="auto" w:fill="D9D9D9" w:themeFill="background1" w:themeFillShade="D9"/>
            <w:vAlign w:val="bottom"/>
          </w:tcPr>
          <w:p w14:paraId="0ED73B07" w14:textId="198BEEDF" w:rsidR="00B45D05" w:rsidRPr="00B45D05" w:rsidRDefault="00B45D05" w:rsidP="00B45D05">
            <w:pPr>
              <w:tabs>
                <w:tab w:val="left" w:pos="5400"/>
              </w:tabs>
              <w:spacing w:line="240" w:lineRule="auto"/>
              <w:rPr>
                <w:b/>
                <w:bCs/>
                <w:color w:val="000000"/>
              </w:rPr>
            </w:pPr>
            <w:r w:rsidRPr="00B45D05">
              <w:rPr>
                <w:b/>
                <w:bCs/>
                <w:color w:val="000000"/>
              </w:rPr>
              <w:t>No.</w:t>
            </w:r>
          </w:p>
        </w:tc>
      </w:tr>
      <w:tr w:rsidR="009A4CB0" w14:paraId="22912D7C" w14:textId="77777777" w:rsidTr="009A4CB0">
        <w:tc>
          <w:tcPr>
            <w:tcW w:w="5766" w:type="dxa"/>
            <w:vAlign w:val="bottom"/>
          </w:tcPr>
          <w:p w14:paraId="1B9F0F00" w14:textId="7E2824D4" w:rsidR="009A4CB0" w:rsidRPr="009A4CB0" w:rsidRDefault="009A4CB0" w:rsidP="00B45D05">
            <w:pPr>
              <w:tabs>
                <w:tab w:val="left" w:pos="5400"/>
              </w:tabs>
              <w:spacing w:line="240" w:lineRule="auto"/>
            </w:pPr>
            <w:r w:rsidRPr="009A4CB0">
              <w:rPr>
                <w:color w:val="000000"/>
              </w:rPr>
              <w:t>Incident Management</w:t>
            </w:r>
          </w:p>
        </w:tc>
        <w:tc>
          <w:tcPr>
            <w:tcW w:w="617" w:type="dxa"/>
            <w:vAlign w:val="bottom"/>
          </w:tcPr>
          <w:p w14:paraId="400F35D6" w14:textId="6519E3B5" w:rsidR="009A4CB0" w:rsidRPr="009A4CB0" w:rsidRDefault="009A4CB0" w:rsidP="00B45D05">
            <w:pPr>
              <w:tabs>
                <w:tab w:val="left" w:pos="5400"/>
              </w:tabs>
              <w:spacing w:line="240" w:lineRule="auto"/>
            </w:pPr>
            <w:r w:rsidRPr="009A4CB0">
              <w:rPr>
                <w:color w:val="000000"/>
              </w:rPr>
              <w:t>2</w:t>
            </w:r>
          </w:p>
        </w:tc>
      </w:tr>
      <w:tr w:rsidR="009A4CB0" w14:paraId="503A44F1" w14:textId="77777777" w:rsidTr="009A4CB0">
        <w:tc>
          <w:tcPr>
            <w:tcW w:w="5766" w:type="dxa"/>
            <w:vAlign w:val="center"/>
          </w:tcPr>
          <w:p w14:paraId="368AA040" w14:textId="2D4178FD" w:rsidR="009A4CB0" w:rsidRPr="009A4CB0" w:rsidRDefault="009A4CB0" w:rsidP="00B45D05">
            <w:pPr>
              <w:tabs>
                <w:tab w:val="left" w:pos="5400"/>
              </w:tabs>
              <w:spacing w:line="240" w:lineRule="auto"/>
            </w:pPr>
            <w:r w:rsidRPr="009A4CB0">
              <w:rPr>
                <w:color w:val="000000" w:themeColor="text1"/>
              </w:rPr>
              <w:t>Failure to Recognise Risk</w:t>
            </w:r>
          </w:p>
        </w:tc>
        <w:tc>
          <w:tcPr>
            <w:tcW w:w="617" w:type="dxa"/>
            <w:vAlign w:val="bottom"/>
          </w:tcPr>
          <w:p w14:paraId="7F32858C" w14:textId="1688598B" w:rsidR="009A4CB0" w:rsidRPr="009A4CB0" w:rsidRDefault="005B17A8" w:rsidP="00B45D05">
            <w:pPr>
              <w:tabs>
                <w:tab w:val="left" w:pos="5400"/>
              </w:tabs>
              <w:spacing w:line="240" w:lineRule="auto"/>
            </w:pPr>
            <w:r>
              <w:rPr>
                <w:color w:val="000000"/>
              </w:rPr>
              <w:t>14</w:t>
            </w:r>
          </w:p>
        </w:tc>
      </w:tr>
      <w:tr w:rsidR="009A4CB0" w14:paraId="2A9B74A7" w14:textId="77777777" w:rsidTr="009A4CB0">
        <w:tc>
          <w:tcPr>
            <w:tcW w:w="5766" w:type="dxa"/>
            <w:vAlign w:val="bottom"/>
          </w:tcPr>
          <w:p w14:paraId="6673BFC5" w14:textId="668C7FF8" w:rsidR="009A4CB0" w:rsidRPr="009A4CB0" w:rsidRDefault="009A4CB0" w:rsidP="00B45D05">
            <w:pPr>
              <w:tabs>
                <w:tab w:val="left" w:pos="5400"/>
              </w:tabs>
              <w:spacing w:line="240" w:lineRule="auto"/>
            </w:pPr>
            <w:r w:rsidRPr="009A4CB0">
              <w:rPr>
                <w:color w:val="000000"/>
              </w:rPr>
              <w:t>Not following Procedure/ Failure to Recognise Risk</w:t>
            </w:r>
          </w:p>
        </w:tc>
        <w:tc>
          <w:tcPr>
            <w:tcW w:w="617" w:type="dxa"/>
            <w:vAlign w:val="bottom"/>
          </w:tcPr>
          <w:p w14:paraId="0190C9D4" w14:textId="37164548" w:rsidR="009A4CB0" w:rsidRPr="009A4CB0" w:rsidRDefault="009A4CB0" w:rsidP="00B45D05">
            <w:pPr>
              <w:tabs>
                <w:tab w:val="left" w:pos="5400"/>
              </w:tabs>
              <w:spacing w:line="240" w:lineRule="auto"/>
            </w:pPr>
            <w:r w:rsidRPr="009A4CB0">
              <w:rPr>
                <w:color w:val="000000"/>
              </w:rPr>
              <w:t>1</w:t>
            </w:r>
          </w:p>
        </w:tc>
      </w:tr>
    </w:tbl>
    <w:p w14:paraId="00219F98" w14:textId="77777777" w:rsidR="009A4CB0" w:rsidRPr="00B11A55" w:rsidRDefault="009A4CB0"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C233A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46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508FC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46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AE1F70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46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E71BC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46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C76274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46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9E0935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46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7CCB"/>
    <w:rsid w:val="00090F3B"/>
    <w:rsid w:val="000E2F19"/>
    <w:rsid w:val="000E6526"/>
    <w:rsid w:val="00141533"/>
    <w:rsid w:val="00167528"/>
    <w:rsid w:val="00195CC4"/>
    <w:rsid w:val="00207326"/>
    <w:rsid w:val="00253DF6"/>
    <w:rsid w:val="00255F1E"/>
    <w:rsid w:val="002D32DE"/>
    <w:rsid w:val="0031478E"/>
    <w:rsid w:val="0036503B"/>
    <w:rsid w:val="00376A4A"/>
    <w:rsid w:val="00380BF7"/>
    <w:rsid w:val="003D6D03"/>
    <w:rsid w:val="003E12CA"/>
    <w:rsid w:val="004010DC"/>
    <w:rsid w:val="004341F0"/>
    <w:rsid w:val="00456324"/>
    <w:rsid w:val="00475460"/>
    <w:rsid w:val="00490317"/>
    <w:rsid w:val="00491644"/>
    <w:rsid w:val="00496A08"/>
    <w:rsid w:val="004A0A6A"/>
    <w:rsid w:val="004E1605"/>
    <w:rsid w:val="004F653C"/>
    <w:rsid w:val="00540A52"/>
    <w:rsid w:val="00557306"/>
    <w:rsid w:val="005871A5"/>
    <w:rsid w:val="005B17A8"/>
    <w:rsid w:val="00645CFA"/>
    <w:rsid w:val="00685219"/>
    <w:rsid w:val="006D5799"/>
    <w:rsid w:val="00705CCC"/>
    <w:rsid w:val="007440EA"/>
    <w:rsid w:val="00750D83"/>
    <w:rsid w:val="00785DBC"/>
    <w:rsid w:val="00793DD5"/>
    <w:rsid w:val="007D55F6"/>
    <w:rsid w:val="007F490F"/>
    <w:rsid w:val="0086779C"/>
    <w:rsid w:val="00874BFD"/>
    <w:rsid w:val="008964EF"/>
    <w:rsid w:val="00915E01"/>
    <w:rsid w:val="009631A4"/>
    <w:rsid w:val="00977296"/>
    <w:rsid w:val="009A4CB0"/>
    <w:rsid w:val="009C2E43"/>
    <w:rsid w:val="00A25E93"/>
    <w:rsid w:val="00A320FF"/>
    <w:rsid w:val="00A70AC0"/>
    <w:rsid w:val="00A84EA9"/>
    <w:rsid w:val="00AC443C"/>
    <w:rsid w:val="00B033D6"/>
    <w:rsid w:val="00B11A55"/>
    <w:rsid w:val="00B17211"/>
    <w:rsid w:val="00B45D05"/>
    <w:rsid w:val="00B461B2"/>
    <w:rsid w:val="00B654B6"/>
    <w:rsid w:val="00B71B3C"/>
    <w:rsid w:val="00BB460B"/>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5002">
      <w:bodyDiv w:val="1"/>
      <w:marLeft w:val="0"/>
      <w:marRight w:val="0"/>
      <w:marTop w:val="0"/>
      <w:marBottom w:val="0"/>
      <w:divBdr>
        <w:top w:val="none" w:sz="0" w:space="0" w:color="auto"/>
        <w:left w:val="none" w:sz="0" w:space="0" w:color="auto"/>
        <w:bottom w:val="none" w:sz="0" w:space="0" w:color="auto"/>
        <w:right w:val="none" w:sz="0" w:space="0" w:color="auto"/>
      </w:divBdr>
    </w:div>
    <w:div w:id="57824741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2025-12-16T09:36:00Z</dcterms:created>
  <dcterms:modified xsi:type="dcterms:W3CDTF">2025-12-16T09:36:00Z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