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0C58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62587">
              <w:t>0131</w:t>
            </w:r>
          </w:p>
          <w:p w14:paraId="34BDABA6" w14:textId="6DD723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2587">
              <w:t>24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412EFA" w14:textId="77777777" w:rsidR="00076224" w:rsidRPr="00076224" w:rsidRDefault="00076224" w:rsidP="00076224">
      <w:pPr>
        <w:pStyle w:val="Heading2"/>
        <w:numPr>
          <w:ilvl w:val="0"/>
          <w:numId w:val="3"/>
        </w:numPr>
      </w:pPr>
      <w:r w:rsidRPr="00076224">
        <w:t>T</w:t>
      </w:r>
      <w:r w:rsidR="00474520" w:rsidRPr="00076224">
        <w:t xml:space="preserve">he number of hate crimes reported to Police Scotland since the </w:t>
      </w:r>
      <w:proofErr w:type="spellStart"/>
      <w:r w:rsidR="00474520" w:rsidRPr="00076224">
        <w:t>the</w:t>
      </w:r>
      <w:proofErr w:type="spellEnd"/>
      <w:r w:rsidR="00474520" w:rsidRPr="00076224">
        <w:t xml:space="preserve"> Hate Crime and Public Order (Scotland) Act 2021 was implemented in April 2024.</w:t>
      </w:r>
      <w:r w:rsidR="00474520" w:rsidRPr="00076224">
        <w:br/>
        <w:t>please provide a breakdown the figure by month.</w:t>
      </w:r>
    </w:p>
    <w:p w14:paraId="63738F70" w14:textId="77777777" w:rsidR="00076224" w:rsidRPr="00076224" w:rsidRDefault="00474520" w:rsidP="00076224">
      <w:pPr>
        <w:pStyle w:val="Heading2"/>
        <w:numPr>
          <w:ilvl w:val="0"/>
          <w:numId w:val="3"/>
        </w:numPr>
        <w:rPr>
          <w:rStyle w:val="Heading2Char"/>
          <w:b/>
        </w:rPr>
      </w:pPr>
      <w:r w:rsidRPr="00076224">
        <w:rPr>
          <w:rStyle w:val="Heading2Char"/>
          <w:b/>
        </w:rPr>
        <w:t>The number of hate crime reports that Police Scotland investigated.</w:t>
      </w:r>
    </w:p>
    <w:p w14:paraId="70D3A9CB" w14:textId="77777777" w:rsidR="00076224" w:rsidRDefault="00474520" w:rsidP="00076224">
      <w:pPr>
        <w:pStyle w:val="Heading2"/>
        <w:numPr>
          <w:ilvl w:val="0"/>
          <w:numId w:val="3"/>
        </w:numPr>
        <w:rPr>
          <w:rStyle w:val="Heading2Char"/>
          <w:b/>
        </w:rPr>
      </w:pPr>
      <w:r w:rsidRPr="00076224">
        <w:rPr>
          <w:rStyle w:val="Heading2Char"/>
          <w:b/>
        </w:rPr>
        <w:t>The number of those investigations that resulted in a case that was referred to Crown Office and Procurator Fiscal Service.</w:t>
      </w:r>
    </w:p>
    <w:p w14:paraId="17A16F72" w14:textId="71075CF4" w:rsidR="00076224" w:rsidRDefault="00076224" w:rsidP="00076224">
      <w:r>
        <w:t>The information requested is detailed in the table below.</w:t>
      </w:r>
    </w:p>
    <w:p w14:paraId="255BCC5D" w14:textId="083C8242" w:rsidR="00076224" w:rsidRDefault="00076224" w:rsidP="00076224">
      <w:r>
        <w:t xml:space="preserve">In accordance with the </w:t>
      </w:r>
      <w:hyperlink r:id="rId11" w:tgtFrame="_blank" w:tooltip="Scottish Crime Recording Standard Crime Recording And Counting Rules April 2021" w:history="1">
        <w:r w:rsidRPr="00076224">
          <w:rPr>
            <w:rStyle w:val="Hyperlink"/>
          </w:rPr>
          <w:t>Scottish Crime Recording Standard</w:t>
        </w:r>
      </w:hyperlink>
      <w:r>
        <w:t xml:space="preserve"> </w:t>
      </w:r>
      <w:r w:rsidR="00EC4700">
        <w:t xml:space="preserve">all recorded crimes are investigated.  You may also be interested in our </w:t>
      </w:r>
      <w:hyperlink r:id="rId12" w:tgtFrame="_blank" w:tooltip="Responding To Hate Standard Operation Procedure" w:history="1">
        <w:r w:rsidR="00EC4700" w:rsidRPr="00EC4700">
          <w:rPr>
            <w:rStyle w:val="Hyperlink"/>
          </w:rPr>
          <w:t>Responding to Hate SOP</w:t>
        </w:r>
      </w:hyperlink>
      <w:r w:rsidR="00EC4700" w:rsidRPr="00EC4700">
        <w:t>.</w:t>
      </w:r>
      <w:r>
        <w:t xml:space="preserve"> </w:t>
      </w:r>
    </w:p>
    <w:p w14:paraId="35C3E04E" w14:textId="4A2C678D" w:rsidR="00EC4700" w:rsidRDefault="00076224" w:rsidP="00E95762">
      <w:r>
        <w:t>Please note that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37"/>
        <w:gridCol w:w="2244"/>
      </w:tblGrid>
      <w:tr w:rsidR="00EC4700" w:rsidRPr="00EC4700" w14:paraId="44D620EA" w14:textId="77777777" w:rsidTr="00B64FE3">
        <w:trPr>
          <w:cantSplit/>
          <w:trHeight w:val="324"/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3A01814C" w14:textId="77777777" w:rsidR="00EC4700" w:rsidRPr="00EC4700" w:rsidRDefault="00EC4700" w:rsidP="00EC4700">
            <w:pPr>
              <w:spacing w:line="240" w:lineRule="auto"/>
              <w:rPr>
                <w:b/>
                <w:bCs/>
              </w:rPr>
            </w:pPr>
            <w:r w:rsidRPr="00EC4700">
              <w:rPr>
                <w:b/>
                <w:bCs/>
              </w:rPr>
              <w:t> Month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66CA1474" w14:textId="77777777" w:rsidR="00EC4700" w:rsidRPr="00EC4700" w:rsidRDefault="00EC4700" w:rsidP="00EC4700">
            <w:pPr>
              <w:spacing w:line="240" w:lineRule="auto"/>
              <w:rPr>
                <w:b/>
                <w:bCs/>
              </w:rPr>
            </w:pPr>
            <w:r w:rsidRPr="00EC4700">
              <w:rPr>
                <w:b/>
                <w:bCs/>
              </w:rPr>
              <w:t>Recorded Crimes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717F89CB" w14:textId="77777777" w:rsidR="00EC4700" w:rsidRPr="00EC4700" w:rsidRDefault="00EC4700" w:rsidP="00EC4700">
            <w:pPr>
              <w:spacing w:line="240" w:lineRule="auto"/>
              <w:rPr>
                <w:b/>
                <w:bCs/>
              </w:rPr>
            </w:pPr>
            <w:r w:rsidRPr="00EC4700">
              <w:rPr>
                <w:b/>
                <w:bCs/>
              </w:rPr>
              <w:t>Detected Crimes</w:t>
            </w:r>
          </w:p>
        </w:tc>
      </w:tr>
      <w:tr w:rsidR="00EC4700" w:rsidRPr="00EC4700" w14:paraId="599C5152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65B987B3" w14:textId="77777777" w:rsidR="00EC4700" w:rsidRPr="00EC4700" w:rsidRDefault="00EC4700" w:rsidP="00EC4700">
            <w:pPr>
              <w:spacing w:line="240" w:lineRule="auto"/>
            </w:pPr>
            <w:r w:rsidRPr="00EC4700">
              <w:t>Apr</w:t>
            </w:r>
          </w:p>
        </w:tc>
        <w:tc>
          <w:tcPr>
            <w:tcW w:w="2337" w:type="dxa"/>
            <w:hideMark/>
          </w:tcPr>
          <w:p w14:paraId="1997BDF0" w14:textId="77777777" w:rsidR="00EC4700" w:rsidRPr="00EC4700" w:rsidRDefault="00EC4700" w:rsidP="00EC4700">
            <w:pPr>
              <w:spacing w:line="240" w:lineRule="auto"/>
            </w:pPr>
            <w:r w:rsidRPr="00EC4700">
              <w:t>847</w:t>
            </w:r>
          </w:p>
        </w:tc>
        <w:tc>
          <w:tcPr>
            <w:tcW w:w="2244" w:type="dxa"/>
            <w:hideMark/>
          </w:tcPr>
          <w:p w14:paraId="6D5E66D8" w14:textId="77777777" w:rsidR="00EC4700" w:rsidRPr="00EC4700" w:rsidRDefault="00EC4700" w:rsidP="00EC4700">
            <w:pPr>
              <w:spacing w:line="240" w:lineRule="auto"/>
            </w:pPr>
            <w:r w:rsidRPr="00EC4700">
              <w:t>543</w:t>
            </w:r>
          </w:p>
        </w:tc>
      </w:tr>
      <w:tr w:rsidR="00EC4700" w:rsidRPr="00EC4700" w14:paraId="5787C9D7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5CE8A382" w14:textId="77777777" w:rsidR="00EC4700" w:rsidRPr="00EC4700" w:rsidRDefault="00EC4700" w:rsidP="00EC4700">
            <w:pPr>
              <w:spacing w:line="240" w:lineRule="auto"/>
            </w:pPr>
            <w:r w:rsidRPr="00EC4700">
              <w:t>May</w:t>
            </w:r>
          </w:p>
        </w:tc>
        <w:tc>
          <w:tcPr>
            <w:tcW w:w="2337" w:type="dxa"/>
            <w:hideMark/>
          </w:tcPr>
          <w:p w14:paraId="63D5A191" w14:textId="77777777" w:rsidR="00EC4700" w:rsidRPr="00EC4700" w:rsidRDefault="00EC4700" w:rsidP="00EC4700">
            <w:pPr>
              <w:spacing w:line="240" w:lineRule="auto"/>
            </w:pPr>
            <w:r w:rsidRPr="00EC4700">
              <w:t>932</w:t>
            </w:r>
          </w:p>
        </w:tc>
        <w:tc>
          <w:tcPr>
            <w:tcW w:w="2244" w:type="dxa"/>
            <w:hideMark/>
          </w:tcPr>
          <w:p w14:paraId="15A434BC" w14:textId="77777777" w:rsidR="00EC4700" w:rsidRPr="00EC4700" w:rsidRDefault="00EC4700" w:rsidP="00EC4700">
            <w:pPr>
              <w:spacing w:line="240" w:lineRule="auto"/>
            </w:pPr>
            <w:r w:rsidRPr="00EC4700">
              <w:t>648</w:t>
            </w:r>
          </w:p>
        </w:tc>
      </w:tr>
      <w:tr w:rsidR="00EC4700" w:rsidRPr="00EC4700" w14:paraId="3A93F23C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0F572A21" w14:textId="77777777" w:rsidR="00EC4700" w:rsidRPr="00EC4700" w:rsidRDefault="00EC4700" w:rsidP="00EC4700">
            <w:pPr>
              <w:spacing w:line="240" w:lineRule="auto"/>
            </w:pPr>
            <w:r w:rsidRPr="00EC4700">
              <w:t>Jun</w:t>
            </w:r>
          </w:p>
        </w:tc>
        <w:tc>
          <w:tcPr>
            <w:tcW w:w="2337" w:type="dxa"/>
            <w:hideMark/>
          </w:tcPr>
          <w:p w14:paraId="1DF7F27B" w14:textId="77777777" w:rsidR="00EC4700" w:rsidRPr="00EC4700" w:rsidRDefault="00EC4700" w:rsidP="00EC4700">
            <w:pPr>
              <w:spacing w:line="240" w:lineRule="auto"/>
            </w:pPr>
            <w:r w:rsidRPr="00EC4700">
              <w:t>842</w:t>
            </w:r>
          </w:p>
        </w:tc>
        <w:tc>
          <w:tcPr>
            <w:tcW w:w="2244" w:type="dxa"/>
            <w:hideMark/>
          </w:tcPr>
          <w:p w14:paraId="4C1E1EE4" w14:textId="77777777" w:rsidR="00EC4700" w:rsidRPr="00EC4700" w:rsidRDefault="00EC4700" w:rsidP="00EC4700">
            <w:pPr>
              <w:spacing w:line="240" w:lineRule="auto"/>
            </w:pPr>
            <w:r w:rsidRPr="00EC4700">
              <w:t>564</w:t>
            </w:r>
          </w:p>
        </w:tc>
      </w:tr>
      <w:tr w:rsidR="00EC4700" w:rsidRPr="00EC4700" w14:paraId="46D6A9A6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58C0C6BB" w14:textId="77777777" w:rsidR="00EC4700" w:rsidRPr="00EC4700" w:rsidRDefault="00EC4700" w:rsidP="00EC4700">
            <w:pPr>
              <w:spacing w:line="240" w:lineRule="auto"/>
            </w:pPr>
            <w:r w:rsidRPr="00EC4700">
              <w:t>Jul</w:t>
            </w:r>
          </w:p>
        </w:tc>
        <w:tc>
          <w:tcPr>
            <w:tcW w:w="2337" w:type="dxa"/>
            <w:hideMark/>
          </w:tcPr>
          <w:p w14:paraId="7694D317" w14:textId="77777777" w:rsidR="00EC4700" w:rsidRPr="00EC4700" w:rsidRDefault="00EC4700" w:rsidP="00EC4700">
            <w:pPr>
              <w:spacing w:line="240" w:lineRule="auto"/>
            </w:pPr>
            <w:r w:rsidRPr="00EC4700">
              <w:t>787</w:t>
            </w:r>
          </w:p>
        </w:tc>
        <w:tc>
          <w:tcPr>
            <w:tcW w:w="2244" w:type="dxa"/>
            <w:hideMark/>
          </w:tcPr>
          <w:p w14:paraId="46730D6B" w14:textId="77777777" w:rsidR="00EC4700" w:rsidRPr="00EC4700" w:rsidRDefault="00EC4700" w:rsidP="00EC4700">
            <w:pPr>
              <w:spacing w:line="240" w:lineRule="auto"/>
            </w:pPr>
            <w:r w:rsidRPr="00EC4700">
              <w:t>530</w:t>
            </w:r>
          </w:p>
        </w:tc>
      </w:tr>
      <w:tr w:rsidR="00EC4700" w:rsidRPr="00EC4700" w14:paraId="00CC22EC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34370EBC" w14:textId="77777777" w:rsidR="00EC4700" w:rsidRPr="00EC4700" w:rsidRDefault="00EC4700" w:rsidP="00EC4700">
            <w:pPr>
              <w:spacing w:line="240" w:lineRule="auto"/>
            </w:pPr>
            <w:r w:rsidRPr="00EC4700">
              <w:t>Aug</w:t>
            </w:r>
          </w:p>
        </w:tc>
        <w:tc>
          <w:tcPr>
            <w:tcW w:w="2337" w:type="dxa"/>
            <w:hideMark/>
          </w:tcPr>
          <w:p w14:paraId="3F3D1C70" w14:textId="77777777" w:rsidR="00EC4700" w:rsidRPr="00EC4700" w:rsidRDefault="00EC4700" w:rsidP="00EC4700">
            <w:pPr>
              <w:spacing w:line="240" w:lineRule="auto"/>
            </w:pPr>
            <w:r w:rsidRPr="00EC4700">
              <w:t>937</w:t>
            </w:r>
          </w:p>
        </w:tc>
        <w:tc>
          <w:tcPr>
            <w:tcW w:w="2244" w:type="dxa"/>
            <w:hideMark/>
          </w:tcPr>
          <w:p w14:paraId="2678BBDF" w14:textId="77777777" w:rsidR="00EC4700" w:rsidRPr="00EC4700" w:rsidRDefault="00EC4700" w:rsidP="00EC4700">
            <w:pPr>
              <w:spacing w:line="240" w:lineRule="auto"/>
            </w:pPr>
            <w:r w:rsidRPr="00EC4700">
              <w:t>584</w:t>
            </w:r>
          </w:p>
        </w:tc>
      </w:tr>
      <w:tr w:rsidR="00EC4700" w:rsidRPr="00EC4700" w14:paraId="6FE27464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32646119" w14:textId="77777777" w:rsidR="00EC4700" w:rsidRPr="00EC4700" w:rsidRDefault="00EC4700" w:rsidP="00EC4700">
            <w:pPr>
              <w:spacing w:line="240" w:lineRule="auto"/>
            </w:pPr>
            <w:r w:rsidRPr="00EC4700">
              <w:t>Sep</w:t>
            </w:r>
          </w:p>
        </w:tc>
        <w:tc>
          <w:tcPr>
            <w:tcW w:w="2337" w:type="dxa"/>
            <w:hideMark/>
          </w:tcPr>
          <w:p w14:paraId="4FEDB9C0" w14:textId="77777777" w:rsidR="00EC4700" w:rsidRPr="00EC4700" w:rsidRDefault="00EC4700" w:rsidP="00EC4700">
            <w:pPr>
              <w:spacing w:line="240" w:lineRule="auto"/>
            </w:pPr>
            <w:r w:rsidRPr="00EC4700">
              <w:t>819</w:t>
            </w:r>
          </w:p>
        </w:tc>
        <w:tc>
          <w:tcPr>
            <w:tcW w:w="2244" w:type="dxa"/>
            <w:hideMark/>
          </w:tcPr>
          <w:p w14:paraId="6DFBCC88" w14:textId="77777777" w:rsidR="00EC4700" w:rsidRPr="00EC4700" w:rsidRDefault="00EC4700" w:rsidP="00EC4700">
            <w:pPr>
              <w:spacing w:line="240" w:lineRule="auto"/>
            </w:pPr>
            <w:r w:rsidRPr="00EC4700">
              <w:t>551</w:t>
            </w:r>
          </w:p>
        </w:tc>
      </w:tr>
      <w:tr w:rsidR="00EC4700" w:rsidRPr="00EC4700" w14:paraId="79458E8F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5D980B40" w14:textId="77777777" w:rsidR="00EC4700" w:rsidRPr="00EC4700" w:rsidRDefault="00EC4700" w:rsidP="00EC4700">
            <w:pPr>
              <w:spacing w:line="240" w:lineRule="auto"/>
            </w:pPr>
            <w:r w:rsidRPr="00EC4700">
              <w:t>Oct</w:t>
            </w:r>
          </w:p>
        </w:tc>
        <w:tc>
          <w:tcPr>
            <w:tcW w:w="2337" w:type="dxa"/>
            <w:hideMark/>
          </w:tcPr>
          <w:p w14:paraId="2CF477E2" w14:textId="77777777" w:rsidR="00EC4700" w:rsidRPr="00EC4700" w:rsidRDefault="00EC4700" w:rsidP="00EC4700">
            <w:pPr>
              <w:spacing w:line="240" w:lineRule="auto"/>
            </w:pPr>
            <w:r w:rsidRPr="00EC4700">
              <w:t>732</w:t>
            </w:r>
          </w:p>
        </w:tc>
        <w:tc>
          <w:tcPr>
            <w:tcW w:w="2244" w:type="dxa"/>
            <w:hideMark/>
          </w:tcPr>
          <w:p w14:paraId="39A7E694" w14:textId="77777777" w:rsidR="00EC4700" w:rsidRPr="00EC4700" w:rsidRDefault="00EC4700" w:rsidP="00EC4700">
            <w:pPr>
              <w:spacing w:line="240" w:lineRule="auto"/>
            </w:pPr>
            <w:r w:rsidRPr="00EC4700">
              <w:t>487</w:t>
            </w:r>
          </w:p>
        </w:tc>
      </w:tr>
      <w:tr w:rsidR="00EC4700" w:rsidRPr="00EC4700" w14:paraId="3B289A6D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7C7AF922" w14:textId="77777777" w:rsidR="00EC4700" w:rsidRPr="00EC4700" w:rsidRDefault="00EC4700" w:rsidP="00EC4700">
            <w:pPr>
              <w:spacing w:line="240" w:lineRule="auto"/>
            </w:pPr>
            <w:r w:rsidRPr="00EC4700">
              <w:t>Nov</w:t>
            </w:r>
          </w:p>
        </w:tc>
        <w:tc>
          <w:tcPr>
            <w:tcW w:w="2337" w:type="dxa"/>
            <w:hideMark/>
          </w:tcPr>
          <w:p w14:paraId="14B490DB" w14:textId="77777777" w:rsidR="00EC4700" w:rsidRPr="00EC4700" w:rsidRDefault="00EC4700" w:rsidP="00EC4700">
            <w:pPr>
              <w:spacing w:line="240" w:lineRule="auto"/>
            </w:pPr>
            <w:r w:rsidRPr="00EC4700">
              <w:t>703</w:t>
            </w:r>
          </w:p>
        </w:tc>
        <w:tc>
          <w:tcPr>
            <w:tcW w:w="2244" w:type="dxa"/>
            <w:hideMark/>
          </w:tcPr>
          <w:p w14:paraId="6E25CCA4" w14:textId="77777777" w:rsidR="00EC4700" w:rsidRPr="00EC4700" w:rsidRDefault="00EC4700" w:rsidP="00EC4700">
            <w:pPr>
              <w:spacing w:line="240" w:lineRule="auto"/>
            </w:pPr>
            <w:r w:rsidRPr="00EC4700">
              <w:t>466</w:t>
            </w:r>
          </w:p>
        </w:tc>
      </w:tr>
      <w:tr w:rsidR="00EC4700" w:rsidRPr="00EC4700" w14:paraId="0DCE2539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1FB92257" w14:textId="77777777" w:rsidR="00EC4700" w:rsidRPr="00EC4700" w:rsidRDefault="00EC4700" w:rsidP="00EC4700">
            <w:pPr>
              <w:spacing w:line="240" w:lineRule="auto"/>
            </w:pPr>
            <w:r w:rsidRPr="00EC4700">
              <w:t>Dec</w:t>
            </w:r>
          </w:p>
        </w:tc>
        <w:tc>
          <w:tcPr>
            <w:tcW w:w="2337" w:type="dxa"/>
            <w:hideMark/>
          </w:tcPr>
          <w:p w14:paraId="1C6715CF" w14:textId="77777777" w:rsidR="00EC4700" w:rsidRPr="00EC4700" w:rsidRDefault="00EC4700" w:rsidP="00EC4700">
            <w:pPr>
              <w:spacing w:line="240" w:lineRule="auto"/>
            </w:pPr>
            <w:r w:rsidRPr="00EC4700">
              <w:t>682</w:t>
            </w:r>
          </w:p>
        </w:tc>
        <w:tc>
          <w:tcPr>
            <w:tcW w:w="2244" w:type="dxa"/>
            <w:hideMark/>
          </w:tcPr>
          <w:p w14:paraId="39BC7480" w14:textId="77777777" w:rsidR="00EC4700" w:rsidRPr="00EC4700" w:rsidRDefault="00EC4700" w:rsidP="00EC4700">
            <w:pPr>
              <w:spacing w:line="240" w:lineRule="auto"/>
            </w:pPr>
            <w:r w:rsidRPr="00EC4700">
              <w:t>453</w:t>
            </w:r>
          </w:p>
        </w:tc>
      </w:tr>
      <w:tr w:rsidR="00EC4700" w:rsidRPr="00EC4700" w14:paraId="422D96AC" w14:textId="77777777" w:rsidTr="00B64FE3">
        <w:trPr>
          <w:cantSplit/>
          <w:trHeight w:val="324"/>
        </w:trPr>
        <w:tc>
          <w:tcPr>
            <w:tcW w:w="1271" w:type="dxa"/>
            <w:hideMark/>
          </w:tcPr>
          <w:p w14:paraId="3876C390" w14:textId="77777777" w:rsidR="00EC4700" w:rsidRPr="00EC4700" w:rsidRDefault="00EC4700" w:rsidP="00EC4700">
            <w:pPr>
              <w:spacing w:line="240" w:lineRule="auto"/>
            </w:pPr>
            <w:r w:rsidRPr="00EC4700">
              <w:lastRenderedPageBreak/>
              <w:t>Jan</w:t>
            </w:r>
          </w:p>
        </w:tc>
        <w:tc>
          <w:tcPr>
            <w:tcW w:w="2337" w:type="dxa"/>
            <w:hideMark/>
          </w:tcPr>
          <w:p w14:paraId="3F394C92" w14:textId="77777777" w:rsidR="00EC4700" w:rsidRPr="00EC4700" w:rsidRDefault="00EC4700" w:rsidP="00EC4700">
            <w:pPr>
              <w:spacing w:line="240" w:lineRule="auto"/>
            </w:pPr>
            <w:r w:rsidRPr="00EC4700">
              <w:t>674</w:t>
            </w:r>
          </w:p>
        </w:tc>
        <w:tc>
          <w:tcPr>
            <w:tcW w:w="2244" w:type="dxa"/>
            <w:hideMark/>
          </w:tcPr>
          <w:p w14:paraId="143B4E0A" w14:textId="77777777" w:rsidR="00EC4700" w:rsidRPr="00EC4700" w:rsidRDefault="00EC4700" w:rsidP="00EC4700">
            <w:pPr>
              <w:spacing w:line="240" w:lineRule="auto"/>
            </w:pPr>
            <w:r w:rsidRPr="00EC4700">
              <w:t>397</w:t>
            </w:r>
          </w:p>
        </w:tc>
      </w:tr>
    </w:tbl>
    <w:p w14:paraId="5B35F7B3" w14:textId="5E5233D7" w:rsidR="00076224" w:rsidRPr="00076224" w:rsidRDefault="00076224" w:rsidP="00076224">
      <w:r w:rsidRPr="00076224">
        <w:t xml:space="preserve">All statistics are provisional and should be treated as management information. </w:t>
      </w:r>
      <w:r>
        <w:br/>
        <w:t xml:space="preserve">Data was </w:t>
      </w:r>
      <w:r w:rsidRPr="00076224">
        <w:t>extracted from Police Scotland systems and are correct as of 24/02/2024</w:t>
      </w:r>
      <w:r w:rsidR="00EC4700">
        <w:br/>
      </w:r>
      <w:r>
        <w:t>Data</w:t>
      </w:r>
      <w:r w:rsidRPr="00076224">
        <w:t xml:space="preserve"> from 1 April 2024 has been extracted from the National Crime Unifi database using the ‘date raised’</w:t>
      </w:r>
      <w:r>
        <w:t xml:space="preserve"> and </w:t>
      </w:r>
      <w:r w:rsidRPr="00076224">
        <w:t>based on crimes/</w:t>
      </w:r>
      <w:r>
        <w:t xml:space="preserve"> </w:t>
      </w:r>
      <w:r w:rsidRPr="00076224">
        <w:t>offences which include at least one of the hate aggravators and/</w:t>
      </w:r>
      <w:r>
        <w:t xml:space="preserve"> </w:t>
      </w:r>
      <w:r w:rsidRPr="00076224">
        <w:t>or are one of the following offences:</w:t>
      </w:r>
    </w:p>
    <w:p w14:paraId="406C6A6A" w14:textId="69A84780" w:rsidR="00076224" w:rsidRPr="00076224" w:rsidRDefault="00076224" w:rsidP="00076224">
      <w:pPr>
        <w:pStyle w:val="ListParagraph"/>
        <w:numPr>
          <w:ilvl w:val="0"/>
          <w:numId w:val="4"/>
        </w:numPr>
      </w:pPr>
      <w:r w:rsidRPr="00076224">
        <w:t>Racially aggravated harassment</w:t>
      </w:r>
    </w:p>
    <w:p w14:paraId="1A3B3CED" w14:textId="77CBDA28" w:rsidR="00076224" w:rsidRPr="00076224" w:rsidRDefault="00076224" w:rsidP="00076224">
      <w:pPr>
        <w:pStyle w:val="ListParagraph"/>
        <w:numPr>
          <w:ilvl w:val="0"/>
          <w:numId w:val="4"/>
        </w:numPr>
      </w:pPr>
      <w:r w:rsidRPr="00076224">
        <w:t>Racially aggravated conduct</w:t>
      </w:r>
    </w:p>
    <w:p w14:paraId="6D9D1075" w14:textId="627D1682" w:rsidR="00076224" w:rsidRPr="00076224" w:rsidRDefault="00076224" w:rsidP="00076224">
      <w:pPr>
        <w:pStyle w:val="ListParagraph"/>
        <w:numPr>
          <w:ilvl w:val="0"/>
          <w:numId w:val="4"/>
        </w:numPr>
      </w:pPr>
      <w:r w:rsidRPr="00076224">
        <w:t>Stirring up hatred: Racial</w:t>
      </w:r>
    </w:p>
    <w:p w14:paraId="3D8D59D5" w14:textId="73D55B4E" w:rsidR="00076224" w:rsidRPr="00076224" w:rsidRDefault="00076224" w:rsidP="00076224">
      <w:pPr>
        <w:pStyle w:val="ListParagraph"/>
        <w:numPr>
          <w:ilvl w:val="0"/>
          <w:numId w:val="4"/>
        </w:numPr>
      </w:pPr>
      <w:r w:rsidRPr="00076224">
        <w:t>Stirring up hatred: Other Group</w:t>
      </w:r>
    </w:p>
    <w:p w14:paraId="72BC07A2" w14:textId="5B1CB69F" w:rsidR="00076224" w:rsidRPr="00076224" w:rsidRDefault="00076224" w:rsidP="00076224">
      <w:pPr>
        <w:pStyle w:val="ListParagraph"/>
        <w:numPr>
          <w:ilvl w:val="0"/>
          <w:numId w:val="4"/>
        </w:numPr>
      </w:pPr>
      <w:r w:rsidRPr="00076224">
        <w:t>Race Relations Legislation (Public Order Act)</w:t>
      </w:r>
    </w:p>
    <w:p w14:paraId="0C74CFF4" w14:textId="145DD0EE" w:rsidR="00076224" w:rsidRDefault="00076224" w:rsidP="00E95762">
      <w:r>
        <w:t>The data is</w:t>
      </w:r>
      <w:r w:rsidRPr="00076224">
        <w:t xml:space="preserve"> a count of unique hate crimes, and not a count of aggravators. </w:t>
      </w:r>
      <w:r>
        <w:t xml:space="preserve"> </w:t>
      </w:r>
      <w:r w:rsidRPr="00076224">
        <w:t>Multiple aggravators can be added to one hate crime.</w:t>
      </w:r>
      <w:r>
        <w:br/>
      </w:r>
      <w:r w:rsidRPr="00076224">
        <w:t>Please note, due to the different sources of data being used and different methodology/</w:t>
      </w:r>
      <w:r>
        <w:t xml:space="preserve"> </w:t>
      </w:r>
      <w:r w:rsidRPr="00076224">
        <w:t>counting rules, comparison of recorded hates crimes from 1 April 2024 with recorded hate crimes prior to 1 April 2024 would not be advised.  Any comparison of the two datasets should be carried out with caution.</w:t>
      </w:r>
    </w:p>
    <w:p w14:paraId="1CBFBFB8" w14:textId="77777777" w:rsidR="00EC4700" w:rsidRDefault="00EC4700" w:rsidP="00E9576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0762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C6004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53EF7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B584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E836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EE1B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EBE3E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A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813F9"/>
    <w:multiLevelType w:val="hybridMultilevel"/>
    <w:tmpl w:val="B19407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722866"/>
    <w:multiLevelType w:val="hybridMultilevel"/>
    <w:tmpl w:val="91B2C1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10529"/>
    <w:multiLevelType w:val="multilevel"/>
    <w:tmpl w:val="717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6447A"/>
    <w:multiLevelType w:val="hybridMultilevel"/>
    <w:tmpl w:val="7D4A1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38746">
    <w:abstractNumId w:val="3"/>
  </w:num>
  <w:num w:numId="2" w16cid:durableId="1209338678">
    <w:abstractNumId w:val="1"/>
  </w:num>
  <w:num w:numId="3" w16cid:durableId="277956361">
    <w:abstractNumId w:val="0"/>
  </w:num>
  <w:num w:numId="4" w16cid:durableId="1038510416">
    <w:abstractNumId w:val="4"/>
  </w:num>
  <w:num w:numId="5" w16cid:durableId="59837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224"/>
    <w:rsid w:val="00090F3B"/>
    <w:rsid w:val="000E2F19"/>
    <w:rsid w:val="000E6526"/>
    <w:rsid w:val="001406F3"/>
    <w:rsid w:val="00141533"/>
    <w:rsid w:val="00167528"/>
    <w:rsid w:val="00195CC4"/>
    <w:rsid w:val="00207326"/>
    <w:rsid w:val="00253DF6"/>
    <w:rsid w:val="00255F1E"/>
    <w:rsid w:val="002C0390"/>
    <w:rsid w:val="0036503B"/>
    <w:rsid w:val="00376A4A"/>
    <w:rsid w:val="003D6D03"/>
    <w:rsid w:val="003E12CA"/>
    <w:rsid w:val="003E6C00"/>
    <w:rsid w:val="004010DC"/>
    <w:rsid w:val="004341F0"/>
    <w:rsid w:val="00456324"/>
    <w:rsid w:val="00474520"/>
    <w:rsid w:val="00475460"/>
    <w:rsid w:val="0048252B"/>
    <w:rsid w:val="00490317"/>
    <w:rsid w:val="00491644"/>
    <w:rsid w:val="00496A08"/>
    <w:rsid w:val="004E1605"/>
    <w:rsid w:val="004F5286"/>
    <w:rsid w:val="004F653C"/>
    <w:rsid w:val="00540A52"/>
    <w:rsid w:val="00557306"/>
    <w:rsid w:val="00645CFA"/>
    <w:rsid w:val="00685219"/>
    <w:rsid w:val="006D5799"/>
    <w:rsid w:val="007440EA"/>
    <w:rsid w:val="00750D83"/>
    <w:rsid w:val="00761A55"/>
    <w:rsid w:val="00785DBC"/>
    <w:rsid w:val="00793DD5"/>
    <w:rsid w:val="007D55F6"/>
    <w:rsid w:val="007F490F"/>
    <w:rsid w:val="00862587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27908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5869"/>
    <w:rsid w:val="00C606A2"/>
    <w:rsid w:val="00C63872"/>
    <w:rsid w:val="00C84948"/>
    <w:rsid w:val="00C94ED8"/>
    <w:rsid w:val="00CF1111"/>
    <w:rsid w:val="00D05706"/>
    <w:rsid w:val="00D175F0"/>
    <w:rsid w:val="00D27DC5"/>
    <w:rsid w:val="00D47E36"/>
    <w:rsid w:val="00E55D79"/>
    <w:rsid w:val="00EC4700"/>
    <w:rsid w:val="00EC6220"/>
    <w:rsid w:val="00EE2373"/>
    <w:rsid w:val="00EF0FBB"/>
    <w:rsid w:val="00EF4761"/>
    <w:rsid w:val="00FC2DA7"/>
    <w:rsid w:val="00FD116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rfwdhysd/responding-to-hate-psos-sop-publication-scheme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555</Words>
  <Characters>3169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2025-02-25T18:50:00Z</cp:lastPrinted>
  <dcterms:created xsi:type="dcterms:W3CDTF">2025-02-24T13:50:00Z</dcterms:created>
  <dcterms:modified xsi:type="dcterms:W3CDTF">2025-02-25T18:50:00Z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