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1D2689" w:rsidR="00B17211" w:rsidRPr="00B17211" w:rsidRDefault="00B17211" w:rsidP="007F490F">
            <w:r w:rsidRPr="007F490F">
              <w:rPr>
                <w:rStyle w:val="Heading2Char"/>
              </w:rPr>
              <w:t>Our reference:</w:t>
            </w:r>
            <w:r>
              <w:t xml:space="preserve">  FOI 2</w:t>
            </w:r>
            <w:r w:rsidR="00EF0FBB">
              <w:t>5</w:t>
            </w:r>
            <w:r w:rsidR="001E14B9">
              <w:t>-3610</w:t>
            </w:r>
          </w:p>
          <w:p w14:paraId="34BDABA6" w14:textId="2ECF357A" w:rsidR="00B17211" w:rsidRDefault="00456324" w:rsidP="00EE2373">
            <w:r w:rsidRPr="007F490F">
              <w:rPr>
                <w:rStyle w:val="Heading2Char"/>
              </w:rPr>
              <w:t>Respon</w:t>
            </w:r>
            <w:r w:rsidR="007D55F6">
              <w:rPr>
                <w:rStyle w:val="Heading2Char"/>
              </w:rPr>
              <w:t>ded to:</w:t>
            </w:r>
            <w:r w:rsidR="007F490F">
              <w:t xml:space="preserve">  </w:t>
            </w:r>
            <w:r w:rsidR="00A65FE5">
              <w:t>10</w:t>
            </w:r>
            <w:r w:rsidR="006D5799">
              <w:t xml:space="preserve"> </w:t>
            </w:r>
            <w:r w:rsidR="00BD4510">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C4289ED" w14:textId="77777777" w:rsidR="001E14B9" w:rsidRPr="001E14B9" w:rsidRDefault="001E14B9" w:rsidP="001E14B9">
      <w:pPr>
        <w:pStyle w:val="Heading2"/>
        <w:numPr>
          <w:ilvl w:val="0"/>
          <w:numId w:val="2"/>
        </w:numPr>
      </w:pPr>
      <w:r w:rsidRPr="001E14B9">
        <w:t>A copy of the accident report form for the police vehicle with license plate SF21 KBV following the incident it was involved in on the night of the 27th of November 2024. Please redact any personal information as deemed necessary to comply with laws regarding processing personal data;</w:t>
      </w:r>
    </w:p>
    <w:p w14:paraId="0FB21CDF" w14:textId="77777777" w:rsidR="001E14B9" w:rsidRDefault="001E14B9" w:rsidP="001E14B9">
      <w:pPr>
        <w:pStyle w:val="Heading2"/>
        <w:numPr>
          <w:ilvl w:val="0"/>
          <w:numId w:val="2"/>
        </w:numPr>
      </w:pPr>
      <w:r w:rsidRPr="001E14B9">
        <w:t>A copy of the evidence gathered in the subsequent investigation into the accident by Police Scotland, including statements, CCTV footage and dashcam footage.</w:t>
      </w:r>
    </w:p>
    <w:p w14:paraId="175240A8" w14:textId="612B6D86" w:rsidR="00BD4510" w:rsidRDefault="00023B84" w:rsidP="00BD4510">
      <w:r w:rsidRPr="00023B84">
        <w:t xml:space="preserve">The </w:t>
      </w:r>
      <w:r>
        <w:t xml:space="preserve">evidentiary </w:t>
      </w:r>
      <w:r w:rsidRPr="00023B84">
        <w:t>information sought is held by Police Scotland, but I am refusing to provide it in terms of section 16(1) of the Act on the basis that the following exemptions apply:</w:t>
      </w:r>
    </w:p>
    <w:p w14:paraId="26234312" w14:textId="0438231E" w:rsidR="00C15F4C" w:rsidRPr="00023B84" w:rsidRDefault="00023B84" w:rsidP="00023B84">
      <w:pPr>
        <w:pStyle w:val="ListParagraph"/>
        <w:numPr>
          <w:ilvl w:val="0"/>
          <w:numId w:val="4"/>
        </w:numPr>
        <w:rPr>
          <w:b/>
          <w:bCs/>
        </w:rPr>
      </w:pPr>
      <w:r w:rsidRPr="00023B84">
        <w:rPr>
          <w:b/>
          <w:bCs/>
        </w:rPr>
        <w:t>Section 34(1)(b) - Investigations</w:t>
      </w:r>
    </w:p>
    <w:p w14:paraId="7C2380D2" w14:textId="7E6FB3C3" w:rsidR="00023B84" w:rsidRDefault="00023B84" w:rsidP="00023B84">
      <w:r w:rsidRPr="00023B84">
        <w:t xml:space="preserve">Information is exempt information if it has, at any time, been held by </w:t>
      </w:r>
      <w:r w:rsidR="00E55B8E">
        <w:t xml:space="preserve">Police Scotland </w:t>
      </w:r>
      <w:r w:rsidRPr="00023B84">
        <w:t>for the purposes of an investigation which may lead to a decision to report the circumstances to the Crown Office and Procurator Fiscal Service</w:t>
      </w:r>
      <w:r w:rsidR="00A76836">
        <w:t xml:space="preserve"> (COPFS)</w:t>
      </w:r>
      <w:r w:rsidRPr="00023B84">
        <w:t xml:space="preserve"> to enable a</w:t>
      </w:r>
      <w:r w:rsidR="00A76836" w:rsidRPr="00A76836">
        <w:rPr>
          <w:color w:val="000000"/>
          <w:sz w:val="23"/>
          <w:szCs w:val="23"/>
        </w:rPr>
        <w:t xml:space="preserve"> </w:t>
      </w:r>
      <w:r w:rsidR="00A76836" w:rsidRPr="00A76836">
        <w:t>determination on whether criminal proceedings should be instigated and whether a person should be prosecuted for an offence.</w:t>
      </w:r>
    </w:p>
    <w:p w14:paraId="68A2D0E3" w14:textId="66D3FD4C" w:rsidR="00C15F4C" w:rsidRDefault="00A76836" w:rsidP="00BD4510">
      <w:r w:rsidRPr="00A76836">
        <w:t xml:space="preserve">This is a non-absolute exemption and requires the application of the </w:t>
      </w:r>
      <w:r w:rsidR="00CC78CA" w:rsidRPr="000D0EA8">
        <w:t>P</w:t>
      </w:r>
      <w:r w:rsidRPr="000D0EA8">
        <w:t xml:space="preserve">ublic </w:t>
      </w:r>
      <w:r w:rsidR="00CC78CA" w:rsidRPr="000D0EA8">
        <w:t>I</w:t>
      </w:r>
      <w:r w:rsidRPr="000D0EA8">
        <w:t xml:space="preserve">nterest </w:t>
      </w:r>
      <w:r w:rsidR="00CC78CA" w:rsidRPr="000D0EA8">
        <w:t>T</w:t>
      </w:r>
      <w:r w:rsidRPr="000D0EA8">
        <w:t>est</w:t>
      </w:r>
      <w:r w:rsidR="00F36459" w:rsidRPr="000D0EA8">
        <w:t>:</w:t>
      </w:r>
    </w:p>
    <w:p w14:paraId="4820983B" w14:textId="743F814F" w:rsidR="008D1089" w:rsidRDefault="008D1089" w:rsidP="00BD4510">
      <w:r>
        <w:t xml:space="preserve">It can be suggested that public awareness and accountability would favour disclosure, given the information concerns the efficient and effective </w:t>
      </w:r>
      <w:r w:rsidR="00553BC6">
        <w:t>conduct of the</w:t>
      </w:r>
      <w:r w:rsidR="00E05219">
        <w:t xml:space="preserve"> Police</w:t>
      </w:r>
      <w:r w:rsidR="00553BC6">
        <w:t xml:space="preserve"> Service. </w:t>
      </w:r>
    </w:p>
    <w:p w14:paraId="4B786135" w14:textId="205E8504" w:rsidR="002011C5" w:rsidRDefault="00E05219" w:rsidP="00E05219">
      <w:bookmarkStart w:id="0" w:name="_Hlk215844699"/>
      <w:r>
        <w:t xml:space="preserve">That said, there can be no public interest in disclosing information which relates to </w:t>
      </w:r>
      <w:r w:rsidR="002011C5">
        <w:t>p</w:t>
      </w:r>
      <w:r>
        <w:t>olice investigations outwith the associated criminal justice processes, thereby prejudicing those processes</w:t>
      </w:r>
      <w:r w:rsidR="00683138">
        <w:t xml:space="preserve"> (and the Force’s future law enforcement at large). </w:t>
      </w:r>
    </w:p>
    <w:p w14:paraId="6D4C5F90" w14:textId="5149B7B7" w:rsidR="00E05219" w:rsidRDefault="00E05219" w:rsidP="00BD4510">
      <w:bookmarkStart w:id="1" w:name="_Hlk215848914"/>
      <w:bookmarkEnd w:id="0"/>
      <w:r>
        <w:t xml:space="preserve">On balance, it is considered that the public interest </w:t>
      </w:r>
      <w:r w:rsidR="00510D10">
        <w:t>lies in maintaining the exemption</w:t>
      </w:r>
      <w:r w:rsidR="00683138">
        <w:t xml:space="preserve"> to protect the integrity of police investigations</w:t>
      </w:r>
      <w:r w:rsidR="00510D10">
        <w:t>.</w:t>
      </w:r>
    </w:p>
    <w:bookmarkEnd w:id="1"/>
    <w:p w14:paraId="34666A2E" w14:textId="77777777" w:rsidR="000D0EA8" w:rsidRDefault="000D0EA8">
      <w:pPr>
        <w:rPr>
          <w:b/>
          <w:bCs/>
        </w:rPr>
      </w:pPr>
      <w:r>
        <w:rPr>
          <w:b/>
          <w:bCs/>
        </w:rPr>
        <w:br w:type="page"/>
      </w:r>
    </w:p>
    <w:p w14:paraId="69B314BE" w14:textId="0DEC1175" w:rsidR="00D635D2" w:rsidRPr="00D635D2" w:rsidRDefault="00A76836" w:rsidP="00A76836">
      <w:pPr>
        <w:pStyle w:val="ListParagraph"/>
        <w:numPr>
          <w:ilvl w:val="0"/>
          <w:numId w:val="6"/>
        </w:numPr>
      </w:pPr>
      <w:r w:rsidRPr="00A76836">
        <w:rPr>
          <w:b/>
          <w:bCs/>
        </w:rPr>
        <w:lastRenderedPageBreak/>
        <w:t>Section 38(1)(b) - Personal Data</w:t>
      </w:r>
    </w:p>
    <w:p w14:paraId="58B4EB4D" w14:textId="50806BC4" w:rsidR="00A76836" w:rsidRPr="00A76836" w:rsidRDefault="00A76836" w:rsidP="00D635D2">
      <w:r w:rsidRPr="00A76836">
        <w:t xml:space="preserve">Personal data is defined in Article 4 of the General Data Protection Regulation (GDPR) as: </w:t>
      </w:r>
    </w:p>
    <w:p w14:paraId="2FB3CE94" w14:textId="77777777" w:rsidR="00A76836" w:rsidRPr="00A76836" w:rsidRDefault="00A76836" w:rsidP="00A76836">
      <w:r w:rsidRPr="00A76836">
        <w:rPr>
          <w:i/>
          <w:iCs/>
        </w:rPr>
        <w:t xml:space="preserve">‘Information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008C2EF" w14:textId="005316DA" w:rsidR="00A76836" w:rsidRPr="00A76836" w:rsidRDefault="00A76836" w:rsidP="00A76836">
      <w:r w:rsidRPr="00A76836">
        <w:t>Section 38(2A) of the Act provides that personal data is exempt from disclosure where disclosure would contravene any of the data protection principles set out at Article 5(1) of the GDPR</w:t>
      </w:r>
      <w:r>
        <w:t>,</w:t>
      </w:r>
      <w:r w:rsidRPr="00A76836">
        <w:t xml:space="preserve"> which states that: </w:t>
      </w:r>
    </w:p>
    <w:p w14:paraId="0B2B0306" w14:textId="77777777" w:rsidR="00A76836" w:rsidRPr="00A76836" w:rsidRDefault="00A76836" w:rsidP="00A76836">
      <w:r w:rsidRPr="00A76836">
        <w:rPr>
          <w:i/>
          <w:iCs/>
        </w:rPr>
        <w:t xml:space="preserve">‘Personal data shall be processed lawfully, fairly and in a transparent manner in relation to the data subject’ </w:t>
      </w:r>
    </w:p>
    <w:p w14:paraId="3CE2A11C" w14:textId="5C3B6DAF" w:rsidR="00A76836" w:rsidRDefault="00A76836" w:rsidP="00A76836">
      <w:r w:rsidRPr="00A76836">
        <w:t>Article 6 of the GDPR goes on to state that processing shall be lawful only if certain conditions are met.</w:t>
      </w:r>
      <w:r>
        <w:t xml:space="preserve"> </w:t>
      </w:r>
      <w:r w:rsidRPr="00A76836">
        <w:t>The only potentially applicable condition is Article 6(1)(f)</w:t>
      </w:r>
      <w:r>
        <w:t>,</w:t>
      </w:r>
      <w:r w:rsidRPr="00A76836">
        <w:t xml:space="preserve"> which states: </w:t>
      </w:r>
    </w:p>
    <w:p w14:paraId="381C1F72" w14:textId="589C0560" w:rsidR="00A76836" w:rsidRDefault="00A76836" w:rsidP="00A76836">
      <w:pPr>
        <w:rPr>
          <w:i/>
          <w:iCs/>
        </w:rPr>
      </w:pPr>
      <w:r w:rsidRPr="00A76836">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w:t>
      </w:r>
      <w:r w:rsidR="00E55B8E">
        <w:rPr>
          <w:i/>
          <w:iCs/>
        </w:rPr>
        <w:t>’</w:t>
      </w:r>
    </w:p>
    <w:p w14:paraId="07567135" w14:textId="447D21CB" w:rsidR="00E55B8E" w:rsidRDefault="00E55B8E" w:rsidP="00A76836">
      <w:r w:rsidRPr="00E55B8E">
        <w:t>Whilst I accept that you may have a legitimate interest with regards</w:t>
      </w:r>
      <w:r w:rsidR="00C01673">
        <w:t xml:space="preserve"> to</w:t>
      </w:r>
      <w:r w:rsidRPr="00E55B8E">
        <w:t xml:space="preserve"> the disclosure of this information and that disclosure may well be necessary for that purpose, I am nonetheless of the view that </w:t>
      </w:r>
      <w:r w:rsidR="008D1089">
        <w:t>your</w:t>
      </w:r>
      <w:r w:rsidRPr="00E55B8E">
        <w:t xml:space="preserve"> interests are overridden by the interests or fundamental rights and freedoms of the data subject(s).</w:t>
      </w:r>
    </w:p>
    <w:p w14:paraId="08429156" w14:textId="319E7C5D" w:rsidR="00E55B8E" w:rsidRDefault="00C01673" w:rsidP="00A76836">
      <w:r>
        <w:t xml:space="preserve">On that basis, it is considered that disclosure of the information sought would be unlawful. </w:t>
      </w:r>
    </w:p>
    <w:p w14:paraId="7F8631C9" w14:textId="4DA65363" w:rsidR="00C15F4C" w:rsidRDefault="008D1089" w:rsidP="008D1089">
      <w:pPr>
        <w:tabs>
          <w:tab w:val="left" w:pos="5400"/>
        </w:tabs>
        <w:jc w:val="both"/>
      </w:pPr>
      <w:r w:rsidRPr="00587B6B">
        <w:t xml:space="preserve">This is an absolute exemption and does not require consideration of the </w:t>
      </w:r>
      <w:r w:rsidR="00A65FE5">
        <w:t>P</w:t>
      </w:r>
      <w:r w:rsidRPr="00587B6B">
        <w:t xml:space="preserve">ublic </w:t>
      </w:r>
      <w:r w:rsidR="00A65FE5">
        <w:t>I</w:t>
      </w:r>
      <w:r w:rsidRPr="00587B6B">
        <w:t xml:space="preserve">nterest </w:t>
      </w:r>
      <w:r w:rsidR="00A65FE5">
        <w:t>T</w:t>
      </w:r>
      <w:r w:rsidRPr="00587B6B">
        <w:t>est.</w:t>
      </w:r>
    </w:p>
    <w:p w14:paraId="32C3239B" w14:textId="77777777" w:rsidR="008D1089" w:rsidRPr="00BD4510" w:rsidRDefault="008D1089" w:rsidP="008D1089">
      <w:pPr>
        <w:tabs>
          <w:tab w:val="left" w:pos="5400"/>
        </w:tabs>
        <w:jc w:val="both"/>
      </w:pPr>
    </w:p>
    <w:p w14:paraId="3F0A4D56" w14:textId="77777777" w:rsidR="001E14B9" w:rsidRDefault="001E14B9" w:rsidP="001E14B9">
      <w:pPr>
        <w:pStyle w:val="Heading2"/>
        <w:numPr>
          <w:ilvl w:val="0"/>
          <w:numId w:val="2"/>
        </w:numPr>
      </w:pPr>
      <w:r w:rsidRPr="001E14B9">
        <w:t>Details of where police vehicle SF21 KBV was travelling to at the time of the crash and whether they were responding to a call;</w:t>
      </w:r>
    </w:p>
    <w:p w14:paraId="2AC44EFD" w14:textId="2D463FC1" w:rsidR="00420C0A" w:rsidRDefault="00420C0A" w:rsidP="00C01673">
      <w:r>
        <w:t xml:space="preserve">Although I can advise the vehicle was responding to an </w:t>
      </w:r>
      <w:r w:rsidR="008A696F">
        <w:t>IMMEDIATE</w:t>
      </w:r>
      <w:r>
        <w:t xml:space="preserve"> call, I am refusing to provide </w:t>
      </w:r>
      <w:r w:rsidR="008A696F">
        <w:t>details of</w:t>
      </w:r>
      <w:r>
        <w:t xml:space="preserve"> where the vehicle was travelling to in terms of </w:t>
      </w:r>
      <w:r w:rsidR="00476BA4">
        <w:t>s</w:t>
      </w:r>
      <w:r>
        <w:t>ection 16(1) of the Act</w:t>
      </w:r>
      <w:r w:rsidR="000D0EA8">
        <w:t>,</w:t>
      </w:r>
      <w:r w:rsidR="008A696F">
        <w:t xml:space="preserve"> on the basis that the exemptions outlined above</w:t>
      </w:r>
      <w:r w:rsidR="000D0EA8">
        <w:t xml:space="preserve"> </w:t>
      </w:r>
      <w:r w:rsidR="008A696F">
        <w:t>apply</w:t>
      </w:r>
      <w:r w:rsidR="000D0EA8">
        <w:t>, as well as</w:t>
      </w:r>
      <w:r w:rsidR="008A696F">
        <w:t>:</w:t>
      </w:r>
    </w:p>
    <w:p w14:paraId="69F62136" w14:textId="77777777" w:rsidR="008A696F" w:rsidRPr="009C0034" w:rsidRDefault="008A696F" w:rsidP="008A696F">
      <w:pPr>
        <w:pStyle w:val="ListParagraph"/>
        <w:numPr>
          <w:ilvl w:val="0"/>
          <w:numId w:val="7"/>
        </w:numPr>
        <w:tabs>
          <w:tab w:val="left" w:pos="5400"/>
        </w:tabs>
        <w:rPr>
          <w:b/>
          <w:bCs/>
        </w:rPr>
      </w:pPr>
      <w:r w:rsidRPr="009C0034">
        <w:rPr>
          <w:b/>
          <w:bCs/>
        </w:rPr>
        <w:lastRenderedPageBreak/>
        <w:t>Section 35(1)(a)&amp;(b) – Law Enforcement</w:t>
      </w:r>
    </w:p>
    <w:p w14:paraId="1218C614" w14:textId="2FD01EDC" w:rsidR="00CA480E" w:rsidRDefault="00CA480E" w:rsidP="00CA480E">
      <w:r w:rsidRPr="009C0034">
        <w:t xml:space="preserve">Information is exempt information if its disclosure under the Act would substantially prejudice the prevention </w:t>
      </w:r>
      <w:r>
        <w:t>and</w:t>
      </w:r>
      <w:r w:rsidRPr="009C0034">
        <w:t xml:space="preserve"> detection of crime and the apprehension </w:t>
      </w:r>
      <w:r>
        <w:t>and</w:t>
      </w:r>
      <w:r w:rsidRPr="009C0034">
        <w:t xml:space="preserve"> prosecution of offenders by adversely impacting on the operational effectiveness of Police Scotland. </w:t>
      </w:r>
    </w:p>
    <w:p w14:paraId="1AF560C8" w14:textId="357D0823" w:rsidR="00C15F4C" w:rsidRDefault="00CC78CA" w:rsidP="001E14B9">
      <w:r w:rsidRPr="009C0034">
        <w:t xml:space="preserve">This is a non-absolute exemption and requires the application of the </w:t>
      </w:r>
      <w:r w:rsidRPr="000D0EA8">
        <w:t>Public Interest Test:</w:t>
      </w:r>
    </w:p>
    <w:p w14:paraId="37FB208B" w14:textId="48609909" w:rsidR="00CA480E" w:rsidRDefault="00CA480E" w:rsidP="001E14B9">
      <w:r w:rsidRPr="001A0881">
        <w:t>It can be argued that there is public interest insofar as being better informed on police investigations of interest</w:t>
      </w:r>
      <w:r w:rsidR="003360E8" w:rsidRPr="001A0881">
        <w:t xml:space="preserve"> to assess how the Service fulfils its law enforcement duty.</w:t>
      </w:r>
      <w:r w:rsidR="003360E8">
        <w:t xml:space="preserve"> </w:t>
      </w:r>
    </w:p>
    <w:p w14:paraId="1DA991D0" w14:textId="7DCA827B" w:rsidR="00B948DB" w:rsidRPr="00B948DB" w:rsidRDefault="00B948DB" w:rsidP="00B948DB">
      <w:r w:rsidRPr="00722F93">
        <w:t>However, disclosing location-based information would indicate where individual police officers and their vehicles ha</w:t>
      </w:r>
      <w:r w:rsidR="00722F93" w:rsidRPr="00722F93">
        <w:t>d</w:t>
      </w:r>
      <w:r w:rsidRPr="00722F93">
        <w:t xml:space="preserve"> been, risking compromising tactical and investigative integrity by creating the </w:t>
      </w:r>
      <w:r w:rsidR="00722F93" w:rsidRPr="00722F93">
        <w:t>opportunity</w:t>
      </w:r>
      <w:r w:rsidRPr="00722F93">
        <w:t xml:space="preserve"> for </w:t>
      </w:r>
      <w:r w:rsidR="00722F93" w:rsidRPr="00722F93">
        <w:t xml:space="preserve">the </w:t>
      </w:r>
      <w:r w:rsidRPr="00722F93">
        <w:t xml:space="preserve">parties </w:t>
      </w:r>
      <w:r w:rsidR="00722F93" w:rsidRPr="00722F93">
        <w:t xml:space="preserve">involved </w:t>
      </w:r>
      <w:r w:rsidRPr="00722F93">
        <w:t>to be identified.</w:t>
      </w:r>
      <w:r w:rsidRPr="00B948DB">
        <w:t xml:space="preserve"> </w:t>
      </w:r>
    </w:p>
    <w:p w14:paraId="6DC2E685" w14:textId="752C1EC7" w:rsidR="009C0034" w:rsidRDefault="00B80410" w:rsidP="001E14B9">
      <w:r>
        <w:t xml:space="preserve">On balance, again the integrity of the investigative process and the responsibility Police Scotland hold in that process carry more weight than public debate of the matters involved. </w:t>
      </w:r>
    </w:p>
    <w:p w14:paraId="5D932370" w14:textId="77777777" w:rsidR="00B80410" w:rsidRPr="001E14B9" w:rsidRDefault="00B80410" w:rsidP="001E14B9"/>
    <w:p w14:paraId="34BDABA9" w14:textId="30420F55" w:rsidR="00496A08" w:rsidRDefault="001E14B9" w:rsidP="009D2AA5">
      <w:pPr>
        <w:pStyle w:val="Heading2"/>
        <w:numPr>
          <w:ilvl w:val="0"/>
          <w:numId w:val="2"/>
        </w:numPr>
      </w:pPr>
      <w:r w:rsidRPr="001E14B9">
        <w:t xml:space="preserve">Information on whether there were any other police vehicles responding to calls in the area, which roads they travelled on, and where they were travelling to. </w:t>
      </w:r>
    </w:p>
    <w:p w14:paraId="4D4B3112" w14:textId="63494915" w:rsidR="00112B7D" w:rsidRDefault="00112B7D" w:rsidP="00112B7D">
      <w:r>
        <w:t>Having considered your request in terms of the Act, I am refusing to confirm or deny whether the information sought exists or is held by Police Scotland in terms of section 18.</w:t>
      </w:r>
    </w:p>
    <w:p w14:paraId="008352A1" w14:textId="047D3AB0" w:rsidR="00112B7D" w:rsidRDefault="00112B7D" w:rsidP="00112B7D">
      <w:r w:rsidRPr="00112B7D">
        <w:t>Section 18 applies where the following two conditions are met:</w:t>
      </w:r>
    </w:p>
    <w:p w14:paraId="78F12E3C" w14:textId="354B56FE" w:rsidR="00112B7D" w:rsidRDefault="00112B7D" w:rsidP="00112B7D">
      <w:pPr>
        <w:pStyle w:val="ListParagraph"/>
        <w:numPr>
          <w:ilvl w:val="0"/>
          <w:numId w:val="8"/>
        </w:numPr>
      </w:pPr>
      <w:r w:rsidRPr="00112B7D">
        <w:t>It would be contrary to the public interest to reveal whether the information is held.</w:t>
      </w:r>
      <w:r w:rsidR="00D635D2">
        <w:t xml:space="preserve"> </w:t>
      </w:r>
      <w:r w:rsidRPr="00112B7D">
        <w:t>Whilst we accept that there is a public interest insofar as better informing the public regarding investigations of interest to them, the overwhelming public interest lies in protecting the integrity of the investigative process and the role of Police Scotland in that process.</w:t>
      </w:r>
    </w:p>
    <w:p w14:paraId="11BB53C7" w14:textId="4CC2C10C" w:rsidR="00D635D2" w:rsidRDefault="00D635D2" w:rsidP="00D635D2">
      <w:pPr>
        <w:pStyle w:val="ListParagraph"/>
        <w:numPr>
          <w:ilvl w:val="0"/>
          <w:numId w:val="8"/>
        </w:numPr>
      </w:pPr>
      <w:r w:rsidRPr="00112B7D">
        <w:t xml:space="preserve">If the information was held, it would be exempt from disclosure in terms of at least one exemption set out in the Act. </w:t>
      </w:r>
    </w:p>
    <w:p w14:paraId="34BDABBD" w14:textId="72F07602" w:rsidR="00BF6B81" w:rsidRDefault="003E1FC4" w:rsidP="00CC5CD9">
      <w:r>
        <w:t xml:space="preserve">In this instance, the </w:t>
      </w:r>
      <w:r w:rsidR="000D0EA8">
        <w:t>s</w:t>
      </w:r>
      <w:r>
        <w:t xml:space="preserve">ection 34(1)(b), </w:t>
      </w:r>
      <w:r w:rsidR="000D0EA8">
        <w:t>s</w:t>
      </w:r>
      <w:r>
        <w:t xml:space="preserve">ection 35(1)(a)&amp;(b) and </w:t>
      </w:r>
      <w:r w:rsidR="000D0EA8">
        <w:t>s</w:t>
      </w:r>
      <w:r>
        <w:t xml:space="preserve">ection 38(1)(b) exemptions </w:t>
      </w:r>
      <w:r w:rsidR="008A696F">
        <w:t>listed</w:t>
      </w:r>
      <w:r>
        <w:t xml:space="preserve"> above in response to the previous question also apply.   </w:t>
      </w:r>
    </w:p>
    <w:p w14:paraId="0908C50E" w14:textId="77777777" w:rsidR="00CC5CD9" w:rsidRPr="00B11A55" w:rsidRDefault="00CC5CD9" w:rsidP="00CC5CD9"/>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22650071"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5096E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196B2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F043E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4C317E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E9E889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63070E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B28E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1C6"/>
    <w:multiLevelType w:val="hybridMultilevel"/>
    <w:tmpl w:val="C2361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E7120B"/>
    <w:multiLevelType w:val="hybridMultilevel"/>
    <w:tmpl w:val="EBC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E346E"/>
    <w:multiLevelType w:val="hybridMultilevel"/>
    <w:tmpl w:val="0118308E"/>
    <w:lvl w:ilvl="0" w:tplc="0250F8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40FF1"/>
    <w:multiLevelType w:val="hybridMultilevel"/>
    <w:tmpl w:val="410CDA0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B001E36"/>
    <w:multiLevelType w:val="hybridMultilevel"/>
    <w:tmpl w:val="5E5AF9C6"/>
    <w:lvl w:ilvl="0" w:tplc="5246E1FE">
      <w:start w:val="1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4C02E1"/>
    <w:multiLevelType w:val="hybridMultilevel"/>
    <w:tmpl w:val="420A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69390B"/>
    <w:multiLevelType w:val="hybridMultilevel"/>
    <w:tmpl w:val="77F095B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7"/>
  </w:num>
  <w:num w:numId="2" w16cid:durableId="1888447233">
    <w:abstractNumId w:val="6"/>
  </w:num>
  <w:num w:numId="3" w16cid:durableId="158891750">
    <w:abstractNumId w:val="1"/>
  </w:num>
  <w:num w:numId="4" w16cid:durableId="1490515842">
    <w:abstractNumId w:val="0"/>
  </w:num>
  <w:num w:numId="5" w16cid:durableId="62416315">
    <w:abstractNumId w:val="2"/>
  </w:num>
  <w:num w:numId="6" w16cid:durableId="922030914">
    <w:abstractNumId w:val="5"/>
  </w:num>
  <w:num w:numId="7" w16cid:durableId="1443577620">
    <w:abstractNumId w:val="3"/>
  </w:num>
  <w:num w:numId="8" w16cid:durableId="1874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3B84"/>
    <w:rsid w:val="00090F3B"/>
    <w:rsid w:val="000D0EA8"/>
    <w:rsid w:val="000E2F19"/>
    <w:rsid w:val="000E43FF"/>
    <w:rsid w:val="000E6526"/>
    <w:rsid w:val="00112B7D"/>
    <w:rsid w:val="00140113"/>
    <w:rsid w:val="00141533"/>
    <w:rsid w:val="00167528"/>
    <w:rsid w:val="00184727"/>
    <w:rsid w:val="00195CC4"/>
    <w:rsid w:val="001A0881"/>
    <w:rsid w:val="001E14B9"/>
    <w:rsid w:val="001F2261"/>
    <w:rsid w:val="002011C5"/>
    <w:rsid w:val="00207326"/>
    <w:rsid w:val="00253DF6"/>
    <w:rsid w:val="00255F1E"/>
    <w:rsid w:val="00260FBC"/>
    <w:rsid w:val="003360E8"/>
    <w:rsid w:val="0036503B"/>
    <w:rsid w:val="00376A4A"/>
    <w:rsid w:val="00381234"/>
    <w:rsid w:val="003D6D03"/>
    <w:rsid w:val="003E12CA"/>
    <w:rsid w:val="003E1FC4"/>
    <w:rsid w:val="00400CC5"/>
    <w:rsid w:val="004010DC"/>
    <w:rsid w:val="00420C0A"/>
    <w:rsid w:val="004341F0"/>
    <w:rsid w:val="00456324"/>
    <w:rsid w:val="00475460"/>
    <w:rsid w:val="00476BA4"/>
    <w:rsid w:val="00490317"/>
    <w:rsid w:val="00491644"/>
    <w:rsid w:val="00496A08"/>
    <w:rsid w:val="004D6A21"/>
    <w:rsid w:val="004E1605"/>
    <w:rsid w:val="004F653C"/>
    <w:rsid w:val="00510D10"/>
    <w:rsid w:val="00540A52"/>
    <w:rsid w:val="00553BC6"/>
    <w:rsid w:val="00557306"/>
    <w:rsid w:val="006029D9"/>
    <w:rsid w:val="0060390B"/>
    <w:rsid w:val="00640E26"/>
    <w:rsid w:val="00645CFA"/>
    <w:rsid w:val="00683138"/>
    <w:rsid w:val="00685219"/>
    <w:rsid w:val="006D5799"/>
    <w:rsid w:val="00722F93"/>
    <w:rsid w:val="007440EA"/>
    <w:rsid w:val="00750D83"/>
    <w:rsid w:val="00785DBC"/>
    <w:rsid w:val="00793DD5"/>
    <w:rsid w:val="007A06D4"/>
    <w:rsid w:val="007D55F6"/>
    <w:rsid w:val="007F490F"/>
    <w:rsid w:val="008403D8"/>
    <w:rsid w:val="0086779C"/>
    <w:rsid w:val="00874BFD"/>
    <w:rsid w:val="00882D94"/>
    <w:rsid w:val="008964EF"/>
    <w:rsid w:val="008A696F"/>
    <w:rsid w:val="008D1089"/>
    <w:rsid w:val="00915E01"/>
    <w:rsid w:val="0093207F"/>
    <w:rsid w:val="009631A4"/>
    <w:rsid w:val="0097596C"/>
    <w:rsid w:val="00977296"/>
    <w:rsid w:val="00993797"/>
    <w:rsid w:val="009B2208"/>
    <w:rsid w:val="009C0034"/>
    <w:rsid w:val="009D2AA5"/>
    <w:rsid w:val="00A25E93"/>
    <w:rsid w:val="00A320FF"/>
    <w:rsid w:val="00A6044C"/>
    <w:rsid w:val="00A65FE5"/>
    <w:rsid w:val="00A70AC0"/>
    <w:rsid w:val="00A76836"/>
    <w:rsid w:val="00A84EA9"/>
    <w:rsid w:val="00AC443C"/>
    <w:rsid w:val="00B033D6"/>
    <w:rsid w:val="00B11A55"/>
    <w:rsid w:val="00B17211"/>
    <w:rsid w:val="00B461B2"/>
    <w:rsid w:val="00B654B6"/>
    <w:rsid w:val="00B71B3C"/>
    <w:rsid w:val="00B80410"/>
    <w:rsid w:val="00B948DB"/>
    <w:rsid w:val="00BC389E"/>
    <w:rsid w:val="00BD0588"/>
    <w:rsid w:val="00BD1A5C"/>
    <w:rsid w:val="00BD4510"/>
    <w:rsid w:val="00BE1888"/>
    <w:rsid w:val="00BF6B81"/>
    <w:rsid w:val="00C01673"/>
    <w:rsid w:val="00C077A8"/>
    <w:rsid w:val="00C14FF4"/>
    <w:rsid w:val="00C15F4C"/>
    <w:rsid w:val="00C1679F"/>
    <w:rsid w:val="00C606A2"/>
    <w:rsid w:val="00C63872"/>
    <w:rsid w:val="00C84948"/>
    <w:rsid w:val="00C94ED8"/>
    <w:rsid w:val="00CA480E"/>
    <w:rsid w:val="00CC5CD9"/>
    <w:rsid w:val="00CC78CA"/>
    <w:rsid w:val="00CE09FA"/>
    <w:rsid w:val="00CF1111"/>
    <w:rsid w:val="00D05706"/>
    <w:rsid w:val="00D27DC5"/>
    <w:rsid w:val="00D47E36"/>
    <w:rsid w:val="00D635D2"/>
    <w:rsid w:val="00DB28E9"/>
    <w:rsid w:val="00E05219"/>
    <w:rsid w:val="00E55B8E"/>
    <w:rsid w:val="00E55D79"/>
    <w:rsid w:val="00ED3A7E"/>
    <w:rsid w:val="00EE2373"/>
    <w:rsid w:val="00EF0FBB"/>
    <w:rsid w:val="00EF4761"/>
    <w:rsid w:val="00F36459"/>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3151">
      <w:bodyDiv w:val="1"/>
      <w:marLeft w:val="0"/>
      <w:marRight w:val="0"/>
      <w:marTop w:val="0"/>
      <w:marBottom w:val="0"/>
      <w:divBdr>
        <w:top w:val="none" w:sz="0" w:space="0" w:color="auto"/>
        <w:left w:val="none" w:sz="0" w:space="0" w:color="auto"/>
        <w:bottom w:val="none" w:sz="0" w:space="0" w:color="auto"/>
        <w:right w:val="none" w:sz="0" w:space="0" w:color="auto"/>
      </w:divBdr>
    </w:div>
    <w:div w:id="13188487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1090</Words>
  <Characters>6214</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2025-12-10T17:05:00Z</cp:lastPrinted>
  <dcterms:created xsi:type="dcterms:W3CDTF">2025-12-10T17:04:00Z</dcterms:created>
  <dcterms:modified xsi:type="dcterms:W3CDTF">2025-12-10T17:48:00Z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