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FD267A" w:rsidR="00B17211" w:rsidRPr="00B17211" w:rsidRDefault="00B17211" w:rsidP="007F490F">
            <w:r w:rsidRPr="007F490F">
              <w:rPr>
                <w:rStyle w:val="Heading2Char"/>
              </w:rPr>
              <w:t>Our reference:</w:t>
            </w:r>
            <w:r>
              <w:t xml:space="preserve">  FOI 2</w:t>
            </w:r>
            <w:r w:rsidR="00B4358E">
              <w:t>5</w:t>
            </w:r>
            <w:r>
              <w:t>-</w:t>
            </w:r>
            <w:r w:rsidR="001A291C">
              <w:t>1667</w:t>
            </w:r>
          </w:p>
          <w:p w14:paraId="34BDABA6" w14:textId="002E9269" w:rsidR="00B17211" w:rsidRDefault="00456324" w:rsidP="00EE2373">
            <w:r w:rsidRPr="007F490F">
              <w:rPr>
                <w:rStyle w:val="Heading2Char"/>
              </w:rPr>
              <w:t>Respon</w:t>
            </w:r>
            <w:r w:rsidR="007D55F6">
              <w:rPr>
                <w:rStyle w:val="Heading2Char"/>
              </w:rPr>
              <w:t>ded to:</w:t>
            </w:r>
            <w:r w:rsidR="007F490F">
              <w:t xml:space="preserve">  </w:t>
            </w:r>
            <w:r w:rsidR="0026358B">
              <w:t>11</w:t>
            </w:r>
            <w:r w:rsidR="001A291C">
              <w:t xml:space="preserve">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D340B6" w14:textId="262DD8F7" w:rsidR="001A291C" w:rsidRPr="001A291C" w:rsidRDefault="001A291C" w:rsidP="001A291C">
      <w:pPr>
        <w:pStyle w:val="Heading2"/>
      </w:pPr>
      <w:r w:rsidRPr="001A291C">
        <w:t>I am writing to you, at the suggestion of Transport Scotland, Scottish Safety Camera Programme, to request, under the provisions of the FoI Act, the following information, which Transport Scotland, Scottish Safety Camera Programme, say they do not hold:</w:t>
      </w:r>
    </w:p>
    <w:p w14:paraId="1A664D87" w14:textId="49760AE8" w:rsidR="001A291C" w:rsidRPr="001A291C" w:rsidRDefault="001A291C" w:rsidP="001A291C">
      <w:pPr>
        <w:pStyle w:val="Heading2"/>
      </w:pPr>
      <w:r w:rsidRPr="001A291C">
        <w:t>The number of drivers detected speeding by the Safety Camera Programme’s cameras, each year, since 2015.  That is, each year from 2015 to 2024.</w:t>
      </w:r>
    </w:p>
    <w:p w14:paraId="3CBE7181" w14:textId="6B2D560A" w:rsidR="001A291C" w:rsidRPr="001A291C" w:rsidRDefault="001A291C" w:rsidP="001A291C">
      <w:pPr>
        <w:pStyle w:val="Heading2"/>
      </w:pPr>
      <w:r w:rsidRPr="001A291C">
        <w:t>The number of drivers to whom ‘notices of intended prosecution’ have been issued in each year over the same period, that is, each year from 2015 to 2024.</w:t>
      </w:r>
    </w:p>
    <w:p w14:paraId="711543F1" w14:textId="77777777" w:rsidR="001A291C" w:rsidRPr="001A291C" w:rsidRDefault="001A291C" w:rsidP="001A291C">
      <w:pPr>
        <w:pStyle w:val="Heading2"/>
      </w:pPr>
      <w:r w:rsidRPr="001A291C">
        <w:t>The number of drivers subsequently issued with Fixed Penalty Notices or Prosecution in each year over the same period, that is, each year from 2015 to 2024.</w:t>
      </w:r>
    </w:p>
    <w:p w14:paraId="4C57EA6C" w14:textId="067AF900" w:rsidR="00FC47A2" w:rsidRDefault="00FC47A2" w:rsidP="00FC47A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Due to our data retention policies the information sought for all years </w:t>
      </w:r>
      <w:r w:rsidR="0050735D">
        <w:rPr>
          <w:rFonts w:eastAsiaTheme="majorEastAsia" w:cstheme="majorBidi"/>
          <w:bCs/>
          <w:color w:val="000000" w:themeColor="text1"/>
          <w:szCs w:val="26"/>
        </w:rPr>
        <w:t>prior</w:t>
      </w:r>
      <w:r>
        <w:rPr>
          <w:rFonts w:eastAsiaTheme="majorEastAsia" w:cstheme="majorBidi"/>
          <w:bCs/>
          <w:color w:val="000000" w:themeColor="text1"/>
          <w:szCs w:val="26"/>
        </w:rPr>
        <w:t xml:space="preserve"> to 2022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232B61FB" w:rsidR="00BF6B81" w:rsidRDefault="00254BA9" w:rsidP="00793DD5">
      <w:pPr>
        <w:tabs>
          <w:tab w:val="left" w:pos="5400"/>
        </w:tabs>
      </w:pPr>
      <w:r>
        <w:rPr>
          <w:rFonts w:eastAsiaTheme="majorEastAsia" w:cstheme="majorBidi"/>
          <w:bCs/>
          <w:color w:val="000000" w:themeColor="text1"/>
          <w:szCs w:val="26"/>
        </w:rPr>
        <w:t xml:space="preserve">For the information sought for 2022 </w:t>
      </w:r>
      <w:r w:rsidR="0050735D">
        <w:rPr>
          <w:rFonts w:eastAsiaTheme="majorEastAsia" w:cstheme="majorBidi"/>
          <w:bCs/>
          <w:color w:val="000000" w:themeColor="text1"/>
          <w:szCs w:val="26"/>
        </w:rPr>
        <w:t>to</w:t>
      </w:r>
      <w:r>
        <w:rPr>
          <w:rFonts w:eastAsiaTheme="majorEastAsia" w:cstheme="majorBidi"/>
          <w:bCs/>
          <w:color w:val="000000" w:themeColor="text1"/>
          <w:szCs w:val="26"/>
        </w:rPr>
        <w:t xml:space="preserve"> 2024, please see the table below.</w:t>
      </w:r>
    </w:p>
    <w:tbl>
      <w:tblPr>
        <w:tblStyle w:val="TableGrid"/>
        <w:tblW w:w="9776" w:type="dxa"/>
        <w:tblLook w:val="04A0" w:firstRow="1" w:lastRow="0" w:firstColumn="1" w:lastColumn="0" w:noHBand="0" w:noVBand="1"/>
      </w:tblPr>
      <w:tblGrid>
        <w:gridCol w:w="5606"/>
        <w:gridCol w:w="1390"/>
        <w:gridCol w:w="1390"/>
        <w:gridCol w:w="1390"/>
      </w:tblGrid>
      <w:tr w:rsidR="0050735D" w:rsidRPr="0050735D" w14:paraId="350791BF" w14:textId="77777777" w:rsidTr="0050735D">
        <w:trPr>
          <w:trHeight w:val="20"/>
        </w:trPr>
        <w:tc>
          <w:tcPr>
            <w:tcW w:w="5606" w:type="dxa"/>
            <w:shd w:val="clear" w:color="auto" w:fill="D9D9D9" w:themeFill="background1" w:themeFillShade="D9"/>
            <w:hideMark/>
          </w:tcPr>
          <w:p w14:paraId="205158A1" w14:textId="77777777" w:rsidR="0050735D" w:rsidRPr="0050735D" w:rsidRDefault="0050735D" w:rsidP="0050735D">
            <w:pPr>
              <w:tabs>
                <w:tab w:val="left" w:pos="5400"/>
              </w:tabs>
              <w:spacing w:line="240" w:lineRule="auto"/>
              <w:rPr>
                <w:b/>
                <w:bCs/>
              </w:rPr>
            </w:pPr>
            <w:r w:rsidRPr="0050735D">
              <w:rPr>
                <w:b/>
                <w:bCs/>
              </w:rPr>
              <w:t xml:space="preserve">Year </w:t>
            </w:r>
          </w:p>
        </w:tc>
        <w:tc>
          <w:tcPr>
            <w:tcW w:w="1390" w:type="dxa"/>
            <w:shd w:val="clear" w:color="auto" w:fill="D9D9D9" w:themeFill="background1" w:themeFillShade="D9"/>
            <w:hideMark/>
          </w:tcPr>
          <w:p w14:paraId="6BC1D2C8" w14:textId="77777777" w:rsidR="0050735D" w:rsidRPr="0050735D" w:rsidRDefault="0050735D" w:rsidP="0050735D">
            <w:pPr>
              <w:tabs>
                <w:tab w:val="left" w:pos="5400"/>
              </w:tabs>
              <w:spacing w:line="240" w:lineRule="auto"/>
              <w:rPr>
                <w:b/>
                <w:bCs/>
              </w:rPr>
            </w:pPr>
            <w:r w:rsidRPr="0050735D">
              <w:rPr>
                <w:b/>
                <w:bCs/>
              </w:rPr>
              <w:t>2022</w:t>
            </w:r>
          </w:p>
        </w:tc>
        <w:tc>
          <w:tcPr>
            <w:tcW w:w="1390" w:type="dxa"/>
            <w:shd w:val="clear" w:color="auto" w:fill="D9D9D9" w:themeFill="background1" w:themeFillShade="D9"/>
            <w:hideMark/>
          </w:tcPr>
          <w:p w14:paraId="05C028A3" w14:textId="77777777" w:rsidR="0050735D" w:rsidRPr="0050735D" w:rsidRDefault="0050735D" w:rsidP="0050735D">
            <w:pPr>
              <w:tabs>
                <w:tab w:val="left" w:pos="5400"/>
              </w:tabs>
              <w:spacing w:line="240" w:lineRule="auto"/>
              <w:rPr>
                <w:b/>
                <w:bCs/>
              </w:rPr>
            </w:pPr>
            <w:r w:rsidRPr="0050735D">
              <w:rPr>
                <w:b/>
                <w:bCs/>
              </w:rPr>
              <w:t>2023</w:t>
            </w:r>
          </w:p>
        </w:tc>
        <w:tc>
          <w:tcPr>
            <w:tcW w:w="1390" w:type="dxa"/>
            <w:shd w:val="clear" w:color="auto" w:fill="D9D9D9" w:themeFill="background1" w:themeFillShade="D9"/>
            <w:hideMark/>
          </w:tcPr>
          <w:p w14:paraId="37E3B0EF" w14:textId="77777777" w:rsidR="0050735D" w:rsidRPr="0050735D" w:rsidRDefault="0050735D" w:rsidP="0050735D">
            <w:pPr>
              <w:tabs>
                <w:tab w:val="left" w:pos="5400"/>
              </w:tabs>
              <w:spacing w:line="240" w:lineRule="auto"/>
              <w:rPr>
                <w:b/>
                <w:bCs/>
              </w:rPr>
            </w:pPr>
            <w:r w:rsidRPr="0050735D">
              <w:rPr>
                <w:b/>
                <w:bCs/>
              </w:rPr>
              <w:t>2024</w:t>
            </w:r>
          </w:p>
        </w:tc>
      </w:tr>
      <w:tr w:rsidR="0050735D" w:rsidRPr="0050735D" w14:paraId="098AB64E" w14:textId="77777777" w:rsidTr="0050735D">
        <w:trPr>
          <w:trHeight w:val="20"/>
        </w:trPr>
        <w:tc>
          <w:tcPr>
            <w:tcW w:w="5606" w:type="dxa"/>
            <w:hideMark/>
          </w:tcPr>
          <w:p w14:paraId="7E6F2CD1" w14:textId="77777777" w:rsidR="0050735D" w:rsidRPr="0050735D" w:rsidRDefault="0050735D" w:rsidP="0050735D">
            <w:pPr>
              <w:tabs>
                <w:tab w:val="left" w:pos="5400"/>
              </w:tabs>
              <w:spacing w:line="240" w:lineRule="auto"/>
            </w:pPr>
            <w:r w:rsidRPr="0050735D">
              <w:t>Number of speeding offences</w:t>
            </w:r>
          </w:p>
        </w:tc>
        <w:tc>
          <w:tcPr>
            <w:tcW w:w="1390" w:type="dxa"/>
            <w:hideMark/>
          </w:tcPr>
          <w:p w14:paraId="0A17455D" w14:textId="77777777" w:rsidR="0050735D" w:rsidRPr="0050735D" w:rsidRDefault="0050735D" w:rsidP="0050735D">
            <w:pPr>
              <w:tabs>
                <w:tab w:val="left" w:pos="5400"/>
              </w:tabs>
              <w:spacing w:line="240" w:lineRule="auto"/>
            </w:pPr>
            <w:r w:rsidRPr="0050735D">
              <w:t>65802</w:t>
            </w:r>
          </w:p>
        </w:tc>
        <w:tc>
          <w:tcPr>
            <w:tcW w:w="1390" w:type="dxa"/>
            <w:hideMark/>
          </w:tcPr>
          <w:p w14:paraId="39CCC8F1" w14:textId="77777777" w:rsidR="0050735D" w:rsidRPr="0050735D" w:rsidRDefault="0050735D" w:rsidP="0050735D">
            <w:pPr>
              <w:tabs>
                <w:tab w:val="left" w:pos="5400"/>
              </w:tabs>
              <w:spacing w:line="240" w:lineRule="auto"/>
            </w:pPr>
            <w:r w:rsidRPr="0050735D">
              <w:t>72656</w:t>
            </w:r>
          </w:p>
        </w:tc>
        <w:tc>
          <w:tcPr>
            <w:tcW w:w="1390" w:type="dxa"/>
            <w:hideMark/>
          </w:tcPr>
          <w:p w14:paraId="00459C52" w14:textId="77777777" w:rsidR="0050735D" w:rsidRPr="0050735D" w:rsidRDefault="0050735D" w:rsidP="0050735D">
            <w:pPr>
              <w:tabs>
                <w:tab w:val="left" w:pos="5400"/>
              </w:tabs>
              <w:spacing w:line="240" w:lineRule="auto"/>
            </w:pPr>
            <w:r w:rsidRPr="0050735D">
              <w:t>79241</w:t>
            </w:r>
          </w:p>
        </w:tc>
      </w:tr>
      <w:tr w:rsidR="0050735D" w:rsidRPr="0050735D" w14:paraId="435EECC2" w14:textId="77777777" w:rsidTr="0050735D">
        <w:trPr>
          <w:trHeight w:val="20"/>
        </w:trPr>
        <w:tc>
          <w:tcPr>
            <w:tcW w:w="5606" w:type="dxa"/>
            <w:hideMark/>
          </w:tcPr>
          <w:p w14:paraId="298090E0" w14:textId="77777777" w:rsidR="0050735D" w:rsidRPr="0050735D" w:rsidRDefault="0050735D" w:rsidP="0050735D">
            <w:pPr>
              <w:tabs>
                <w:tab w:val="left" w:pos="5400"/>
              </w:tabs>
              <w:spacing w:line="240" w:lineRule="auto"/>
            </w:pPr>
            <w:r w:rsidRPr="0050735D">
              <w:t>Number of ‘notice of intended prosecution’ issued</w:t>
            </w:r>
          </w:p>
        </w:tc>
        <w:tc>
          <w:tcPr>
            <w:tcW w:w="1390" w:type="dxa"/>
            <w:hideMark/>
          </w:tcPr>
          <w:p w14:paraId="4442AE9E" w14:textId="77777777" w:rsidR="0050735D" w:rsidRPr="0050735D" w:rsidRDefault="0050735D" w:rsidP="0050735D">
            <w:pPr>
              <w:tabs>
                <w:tab w:val="left" w:pos="5400"/>
              </w:tabs>
              <w:spacing w:line="240" w:lineRule="auto"/>
            </w:pPr>
            <w:r w:rsidRPr="0050735D">
              <w:t>60750</w:t>
            </w:r>
          </w:p>
        </w:tc>
        <w:tc>
          <w:tcPr>
            <w:tcW w:w="1390" w:type="dxa"/>
            <w:hideMark/>
          </w:tcPr>
          <w:p w14:paraId="4D31B867" w14:textId="77777777" w:rsidR="0050735D" w:rsidRPr="0050735D" w:rsidRDefault="0050735D" w:rsidP="0050735D">
            <w:pPr>
              <w:tabs>
                <w:tab w:val="left" w:pos="5400"/>
              </w:tabs>
              <w:spacing w:line="240" w:lineRule="auto"/>
            </w:pPr>
            <w:r w:rsidRPr="0050735D">
              <w:t>67268</w:t>
            </w:r>
          </w:p>
        </w:tc>
        <w:tc>
          <w:tcPr>
            <w:tcW w:w="1390" w:type="dxa"/>
            <w:hideMark/>
          </w:tcPr>
          <w:p w14:paraId="077C3737" w14:textId="77777777" w:rsidR="0050735D" w:rsidRPr="0050735D" w:rsidRDefault="0050735D" w:rsidP="0050735D">
            <w:pPr>
              <w:tabs>
                <w:tab w:val="left" w:pos="5400"/>
              </w:tabs>
              <w:spacing w:line="240" w:lineRule="auto"/>
            </w:pPr>
            <w:r w:rsidRPr="0050735D">
              <w:t>72006</w:t>
            </w:r>
          </w:p>
        </w:tc>
      </w:tr>
      <w:tr w:rsidR="0050735D" w:rsidRPr="0050735D" w14:paraId="0001D4F3" w14:textId="77777777" w:rsidTr="0050735D">
        <w:trPr>
          <w:trHeight w:val="20"/>
        </w:trPr>
        <w:tc>
          <w:tcPr>
            <w:tcW w:w="5606" w:type="dxa"/>
            <w:hideMark/>
          </w:tcPr>
          <w:p w14:paraId="2BAD95A9" w14:textId="77777777" w:rsidR="0050735D" w:rsidRPr="0050735D" w:rsidRDefault="0050735D" w:rsidP="0050735D">
            <w:pPr>
              <w:tabs>
                <w:tab w:val="left" w:pos="5400"/>
              </w:tabs>
              <w:spacing w:line="240" w:lineRule="auto"/>
            </w:pPr>
            <w:r w:rsidRPr="0050735D">
              <w:t>Number of conditional offers issued</w:t>
            </w:r>
          </w:p>
        </w:tc>
        <w:tc>
          <w:tcPr>
            <w:tcW w:w="1390" w:type="dxa"/>
            <w:hideMark/>
          </w:tcPr>
          <w:p w14:paraId="3D533D4D" w14:textId="77777777" w:rsidR="0050735D" w:rsidRPr="0050735D" w:rsidRDefault="0050735D" w:rsidP="0050735D">
            <w:pPr>
              <w:tabs>
                <w:tab w:val="left" w:pos="5400"/>
              </w:tabs>
              <w:spacing w:line="240" w:lineRule="auto"/>
            </w:pPr>
            <w:r w:rsidRPr="0050735D">
              <w:t>44285</w:t>
            </w:r>
          </w:p>
        </w:tc>
        <w:tc>
          <w:tcPr>
            <w:tcW w:w="1390" w:type="dxa"/>
            <w:hideMark/>
          </w:tcPr>
          <w:p w14:paraId="3D6382B2" w14:textId="77777777" w:rsidR="0050735D" w:rsidRPr="0050735D" w:rsidRDefault="0050735D" w:rsidP="0050735D">
            <w:pPr>
              <w:tabs>
                <w:tab w:val="left" w:pos="5400"/>
              </w:tabs>
              <w:spacing w:line="240" w:lineRule="auto"/>
            </w:pPr>
            <w:r w:rsidRPr="0050735D">
              <w:t>47992</w:t>
            </w:r>
          </w:p>
        </w:tc>
        <w:tc>
          <w:tcPr>
            <w:tcW w:w="1390" w:type="dxa"/>
            <w:hideMark/>
          </w:tcPr>
          <w:p w14:paraId="2D99CAB2" w14:textId="77777777" w:rsidR="0050735D" w:rsidRPr="0050735D" w:rsidRDefault="0050735D" w:rsidP="0050735D">
            <w:pPr>
              <w:tabs>
                <w:tab w:val="left" w:pos="5400"/>
              </w:tabs>
              <w:spacing w:line="240" w:lineRule="auto"/>
            </w:pPr>
            <w:r w:rsidRPr="0050735D">
              <w:t>49700</w:t>
            </w:r>
          </w:p>
        </w:tc>
      </w:tr>
      <w:tr w:rsidR="0050735D" w:rsidRPr="0050735D" w14:paraId="6F2D3F9F" w14:textId="77777777" w:rsidTr="0050735D">
        <w:trPr>
          <w:trHeight w:val="20"/>
        </w:trPr>
        <w:tc>
          <w:tcPr>
            <w:tcW w:w="5606" w:type="dxa"/>
            <w:hideMark/>
          </w:tcPr>
          <w:p w14:paraId="6153304A" w14:textId="1F058DF7" w:rsidR="0050735D" w:rsidRPr="0050735D" w:rsidRDefault="0050735D" w:rsidP="0050735D">
            <w:pPr>
              <w:tabs>
                <w:tab w:val="left" w:pos="5400"/>
              </w:tabs>
              <w:spacing w:line="240" w:lineRule="auto"/>
            </w:pPr>
            <w:r w:rsidRPr="0050735D">
              <w:t>Number reported to COPF</w:t>
            </w:r>
            <w:r>
              <w:t>S</w:t>
            </w:r>
          </w:p>
        </w:tc>
        <w:tc>
          <w:tcPr>
            <w:tcW w:w="1390" w:type="dxa"/>
            <w:hideMark/>
          </w:tcPr>
          <w:p w14:paraId="4F7061B2" w14:textId="77777777" w:rsidR="0050735D" w:rsidRPr="0050735D" w:rsidRDefault="0050735D" w:rsidP="0050735D">
            <w:pPr>
              <w:tabs>
                <w:tab w:val="left" w:pos="5400"/>
              </w:tabs>
              <w:spacing w:line="240" w:lineRule="auto"/>
            </w:pPr>
            <w:r w:rsidRPr="0050735D">
              <w:t>10397</w:t>
            </w:r>
          </w:p>
        </w:tc>
        <w:tc>
          <w:tcPr>
            <w:tcW w:w="1390" w:type="dxa"/>
            <w:hideMark/>
          </w:tcPr>
          <w:p w14:paraId="2560D710" w14:textId="77777777" w:rsidR="0050735D" w:rsidRPr="0050735D" w:rsidRDefault="0050735D" w:rsidP="0050735D">
            <w:pPr>
              <w:tabs>
                <w:tab w:val="left" w:pos="5400"/>
              </w:tabs>
              <w:spacing w:line="240" w:lineRule="auto"/>
            </w:pPr>
            <w:r w:rsidRPr="0050735D">
              <w:t>12276</w:t>
            </w:r>
          </w:p>
        </w:tc>
        <w:tc>
          <w:tcPr>
            <w:tcW w:w="1390" w:type="dxa"/>
            <w:hideMark/>
          </w:tcPr>
          <w:p w14:paraId="0F273BC9" w14:textId="77777777" w:rsidR="0050735D" w:rsidRPr="0050735D" w:rsidRDefault="0050735D" w:rsidP="0050735D">
            <w:pPr>
              <w:tabs>
                <w:tab w:val="left" w:pos="5400"/>
              </w:tabs>
              <w:spacing w:line="240" w:lineRule="auto"/>
            </w:pPr>
            <w:r w:rsidRPr="0050735D">
              <w:t>13879</w:t>
            </w:r>
          </w:p>
        </w:tc>
      </w:tr>
    </w:tbl>
    <w:p w14:paraId="3419CD3E" w14:textId="77777777" w:rsidR="0050735D" w:rsidRPr="00B11A55" w:rsidRDefault="0050735D"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8B420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35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BD815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35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A7CB2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35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D28C3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358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5C0132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358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E9D4F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358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E2DC1"/>
    <w:multiLevelType w:val="hybridMultilevel"/>
    <w:tmpl w:val="11D0D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103233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A291C"/>
    <w:rsid w:val="00201727"/>
    <w:rsid w:val="00207326"/>
    <w:rsid w:val="00253DF6"/>
    <w:rsid w:val="00254BA9"/>
    <w:rsid w:val="00255F1E"/>
    <w:rsid w:val="0026358B"/>
    <w:rsid w:val="002B7114"/>
    <w:rsid w:val="00332319"/>
    <w:rsid w:val="0036503B"/>
    <w:rsid w:val="003D6D03"/>
    <w:rsid w:val="003E0355"/>
    <w:rsid w:val="003E12CA"/>
    <w:rsid w:val="004010DC"/>
    <w:rsid w:val="00412F3E"/>
    <w:rsid w:val="004341F0"/>
    <w:rsid w:val="00456324"/>
    <w:rsid w:val="00464084"/>
    <w:rsid w:val="00475460"/>
    <w:rsid w:val="0048618B"/>
    <w:rsid w:val="00490317"/>
    <w:rsid w:val="00491644"/>
    <w:rsid w:val="00496A08"/>
    <w:rsid w:val="004E1605"/>
    <w:rsid w:val="004F653C"/>
    <w:rsid w:val="0050735D"/>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8791F"/>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72F68"/>
    <w:rsid w:val="00BC1347"/>
    <w:rsid w:val="00BC389E"/>
    <w:rsid w:val="00BD39F6"/>
    <w:rsid w:val="00BE1888"/>
    <w:rsid w:val="00BE5BE4"/>
    <w:rsid w:val="00BF6B81"/>
    <w:rsid w:val="00C077A8"/>
    <w:rsid w:val="00C14FF4"/>
    <w:rsid w:val="00C4776D"/>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667E6"/>
    <w:rsid w:val="00E75C65"/>
    <w:rsid w:val="00E77DB7"/>
    <w:rsid w:val="00E8687B"/>
    <w:rsid w:val="00EE2373"/>
    <w:rsid w:val="00EF4761"/>
    <w:rsid w:val="00EF6523"/>
    <w:rsid w:val="00F21D44"/>
    <w:rsid w:val="00FC2DA7"/>
    <w:rsid w:val="00FC47A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158">
      <w:bodyDiv w:val="1"/>
      <w:marLeft w:val="0"/>
      <w:marRight w:val="0"/>
      <w:marTop w:val="0"/>
      <w:marBottom w:val="0"/>
      <w:divBdr>
        <w:top w:val="none" w:sz="0" w:space="0" w:color="auto"/>
        <w:left w:val="none" w:sz="0" w:space="0" w:color="auto"/>
        <w:bottom w:val="none" w:sz="0" w:space="0" w:color="auto"/>
        <w:right w:val="none" w:sz="0" w:space="0" w:color="auto"/>
      </w:divBdr>
    </w:div>
    <w:div w:id="227964293">
      <w:bodyDiv w:val="1"/>
      <w:marLeft w:val="0"/>
      <w:marRight w:val="0"/>
      <w:marTop w:val="0"/>
      <w:marBottom w:val="0"/>
      <w:divBdr>
        <w:top w:val="none" w:sz="0" w:space="0" w:color="auto"/>
        <w:left w:val="none" w:sz="0" w:space="0" w:color="auto"/>
        <w:bottom w:val="none" w:sz="0" w:space="0" w:color="auto"/>
        <w:right w:val="none" w:sz="0" w:space="0" w:color="auto"/>
      </w:divBdr>
    </w:div>
    <w:div w:id="402800933">
      <w:bodyDiv w:val="1"/>
      <w:marLeft w:val="0"/>
      <w:marRight w:val="0"/>
      <w:marTop w:val="0"/>
      <w:marBottom w:val="0"/>
      <w:divBdr>
        <w:top w:val="none" w:sz="0" w:space="0" w:color="auto"/>
        <w:left w:val="none" w:sz="0" w:space="0" w:color="auto"/>
        <w:bottom w:val="none" w:sz="0" w:space="0" w:color="auto"/>
        <w:right w:val="none" w:sz="0" w:space="0" w:color="auto"/>
      </w:divBdr>
    </w:div>
    <w:div w:id="444544212">
      <w:bodyDiv w:val="1"/>
      <w:marLeft w:val="0"/>
      <w:marRight w:val="0"/>
      <w:marTop w:val="0"/>
      <w:marBottom w:val="0"/>
      <w:divBdr>
        <w:top w:val="none" w:sz="0" w:space="0" w:color="auto"/>
        <w:left w:val="none" w:sz="0" w:space="0" w:color="auto"/>
        <w:bottom w:val="none" w:sz="0" w:space="0" w:color="auto"/>
        <w:right w:val="none" w:sz="0" w:space="0" w:color="auto"/>
      </w:divBdr>
    </w:div>
    <w:div w:id="706025291">
      <w:bodyDiv w:val="1"/>
      <w:marLeft w:val="0"/>
      <w:marRight w:val="0"/>
      <w:marTop w:val="0"/>
      <w:marBottom w:val="0"/>
      <w:divBdr>
        <w:top w:val="none" w:sz="0" w:space="0" w:color="auto"/>
        <w:left w:val="none" w:sz="0" w:space="0" w:color="auto"/>
        <w:bottom w:val="none" w:sz="0" w:space="0" w:color="auto"/>
        <w:right w:val="none" w:sz="0" w:space="0" w:color="auto"/>
      </w:divBdr>
    </w:div>
    <w:div w:id="804546263">
      <w:bodyDiv w:val="1"/>
      <w:marLeft w:val="0"/>
      <w:marRight w:val="0"/>
      <w:marTop w:val="0"/>
      <w:marBottom w:val="0"/>
      <w:divBdr>
        <w:top w:val="none" w:sz="0" w:space="0" w:color="auto"/>
        <w:left w:val="none" w:sz="0" w:space="0" w:color="auto"/>
        <w:bottom w:val="none" w:sz="0" w:space="0" w:color="auto"/>
        <w:right w:val="none" w:sz="0" w:space="0" w:color="auto"/>
      </w:divBdr>
    </w:div>
    <w:div w:id="1251162928">
      <w:bodyDiv w:val="1"/>
      <w:marLeft w:val="0"/>
      <w:marRight w:val="0"/>
      <w:marTop w:val="0"/>
      <w:marBottom w:val="0"/>
      <w:divBdr>
        <w:top w:val="none" w:sz="0" w:space="0" w:color="auto"/>
        <w:left w:val="none" w:sz="0" w:space="0" w:color="auto"/>
        <w:bottom w:val="none" w:sz="0" w:space="0" w:color="auto"/>
        <w:right w:val="none" w:sz="0" w:space="0" w:color="auto"/>
      </w:divBdr>
    </w:div>
    <w:div w:id="1264997229">
      <w:bodyDiv w:val="1"/>
      <w:marLeft w:val="0"/>
      <w:marRight w:val="0"/>
      <w:marTop w:val="0"/>
      <w:marBottom w:val="0"/>
      <w:divBdr>
        <w:top w:val="none" w:sz="0" w:space="0" w:color="auto"/>
        <w:left w:val="none" w:sz="0" w:space="0" w:color="auto"/>
        <w:bottom w:val="none" w:sz="0" w:space="0" w:color="auto"/>
        <w:right w:val="none" w:sz="0" w:space="0" w:color="auto"/>
      </w:divBdr>
    </w:div>
    <w:div w:id="1343825070">
      <w:bodyDiv w:val="1"/>
      <w:marLeft w:val="0"/>
      <w:marRight w:val="0"/>
      <w:marTop w:val="0"/>
      <w:marBottom w:val="0"/>
      <w:divBdr>
        <w:top w:val="none" w:sz="0" w:space="0" w:color="auto"/>
        <w:left w:val="none" w:sz="0" w:space="0" w:color="auto"/>
        <w:bottom w:val="none" w:sz="0" w:space="0" w:color="auto"/>
        <w:right w:val="none" w:sz="0" w:space="0" w:color="auto"/>
      </w:divBdr>
    </w:div>
    <w:div w:id="1372267118">
      <w:bodyDiv w:val="1"/>
      <w:marLeft w:val="0"/>
      <w:marRight w:val="0"/>
      <w:marTop w:val="0"/>
      <w:marBottom w:val="0"/>
      <w:divBdr>
        <w:top w:val="none" w:sz="0" w:space="0" w:color="auto"/>
        <w:left w:val="none" w:sz="0" w:space="0" w:color="auto"/>
        <w:bottom w:val="none" w:sz="0" w:space="0" w:color="auto"/>
        <w:right w:val="none" w:sz="0" w:space="0" w:color="auto"/>
      </w:divBdr>
    </w:div>
    <w:div w:id="1424301415">
      <w:bodyDiv w:val="1"/>
      <w:marLeft w:val="0"/>
      <w:marRight w:val="0"/>
      <w:marTop w:val="0"/>
      <w:marBottom w:val="0"/>
      <w:divBdr>
        <w:top w:val="none" w:sz="0" w:space="0" w:color="auto"/>
        <w:left w:val="none" w:sz="0" w:space="0" w:color="auto"/>
        <w:bottom w:val="none" w:sz="0" w:space="0" w:color="auto"/>
        <w:right w:val="none" w:sz="0" w:space="0" w:color="auto"/>
      </w:divBdr>
    </w:div>
    <w:div w:id="1432818074">
      <w:bodyDiv w:val="1"/>
      <w:marLeft w:val="0"/>
      <w:marRight w:val="0"/>
      <w:marTop w:val="0"/>
      <w:marBottom w:val="0"/>
      <w:divBdr>
        <w:top w:val="none" w:sz="0" w:space="0" w:color="auto"/>
        <w:left w:val="none" w:sz="0" w:space="0" w:color="auto"/>
        <w:bottom w:val="none" w:sz="0" w:space="0" w:color="auto"/>
        <w:right w:val="none" w:sz="0" w:space="0" w:color="auto"/>
      </w:divBdr>
    </w:div>
    <w:div w:id="1694575305">
      <w:bodyDiv w:val="1"/>
      <w:marLeft w:val="0"/>
      <w:marRight w:val="0"/>
      <w:marTop w:val="0"/>
      <w:marBottom w:val="0"/>
      <w:divBdr>
        <w:top w:val="none" w:sz="0" w:space="0" w:color="auto"/>
        <w:left w:val="none" w:sz="0" w:space="0" w:color="auto"/>
        <w:bottom w:val="none" w:sz="0" w:space="0" w:color="auto"/>
        <w:right w:val="none" w:sz="0" w:space="0" w:color="auto"/>
      </w:divBdr>
    </w:div>
    <w:div w:id="1712656450">
      <w:bodyDiv w:val="1"/>
      <w:marLeft w:val="0"/>
      <w:marRight w:val="0"/>
      <w:marTop w:val="0"/>
      <w:marBottom w:val="0"/>
      <w:divBdr>
        <w:top w:val="none" w:sz="0" w:space="0" w:color="auto"/>
        <w:left w:val="none" w:sz="0" w:space="0" w:color="auto"/>
        <w:bottom w:val="none" w:sz="0" w:space="0" w:color="auto"/>
        <w:right w:val="none" w:sz="0" w:space="0" w:color="auto"/>
      </w:divBdr>
    </w:div>
    <w:div w:id="1776097034">
      <w:bodyDiv w:val="1"/>
      <w:marLeft w:val="0"/>
      <w:marRight w:val="0"/>
      <w:marTop w:val="0"/>
      <w:marBottom w:val="0"/>
      <w:divBdr>
        <w:top w:val="none" w:sz="0" w:space="0" w:color="auto"/>
        <w:left w:val="none" w:sz="0" w:space="0" w:color="auto"/>
        <w:bottom w:val="none" w:sz="0" w:space="0" w:color="auto"/>
        <w:right w:val="none" w:sz="0" w:space="0" w:color="auto"/>
      </w:divBdr>
    </w:div>
    <w:div w:id="1823541895">
      <w:bodyDiv w:val="1"/>
      <w:marLeft w:val="0"/>
      <w:marRight w:val="0"/>
      <w:marTop w:val="0"/>
      <w:marBottom w:val="0"/>
      <w:divBdr>
        <w:top w:val="none" w:sz="0" w:space="0" w:color="auto"/>
        <w:left w:val="none" w:sz="0" w:space="0" w:color="auto"/>
        <w:bottom w:val="none" w:sz="0" w:space="0" w:color="auto"/>
        <w:right w:val="none" w:sz="0" w:space="0" w:color="auto"/>
      </w:divBdr>
    </w:div>
    <w:div w:id="1955818791">
      <w:bodyDiv w:val="1"/>
      <w:marLeft w:val="0"/>
      <w:marRight w:val="0"/>
      <w:marTop w:val="0"/>
      <w:marBottom w:val="0"/>
      <w:divBdr>
        <w:top w:val="none" w:sz="0" w:space="0" w:color="auto"/>
        <w:left w:val="none" w:sz="0" w:space="0" w:color="auto"/>
        <w:bottom w:val="none" w:sz="0" w:space="0" w:color="auto"/>
        <w:right w:val="none" w:sz="0" w:space="0" w:color="auto"/>
      </w:divBdr>
    </w:div>
    <w:div w:id="207593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E21A2-4F1E-40E8-BE8B-09DCC8290FF1}">
  <ds:schemaRefs>
    <ds:schemaRef ds:uri="http://schemas.openxmlformats.org/officeDocument/2006/bibliography"/>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4.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380</Words>
  <Characters>2166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2025-06-11T18:03:00Z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