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060081">
              <w:t>0729</w:t>
            </w:r>
          </w:p>
          <w:p w:rsidR="00B17211" w:rsidRDefault="00456324" w:rsidP="00186490">
            <w:r w:rsidRPr="007F490F">
              <w:rPr>
                <w:rStyle w:val="Heading2Char"/>
              </w:rPr>
              <w:t>Respon</w:t>
            </w:r>
            <w:r w:rsidR="007D55F6">
              <w:rPr>
                <w:rStyle w:val="Heading2Char"/>
              </w:rPr>
              <w:t>ded to:</w:t>
            </w:r>
            <w:r w:rsidR="007F490F">
              <w:t xml:space="preserve">  </w:t>
            </w:r>
            <w:r w:rsidR="00186490">
              <w:t>26</w:t>
            </w:r>
            <w:r w:rsidR="00186490" w:rsidRPr="00186490">
              <w:rPr>
                <w:vertAlign w:val="superscript"/>
              </w:rPr>
              <w:t>th</w:t>
            </w:r>
            <w:r w:rsidR="00186490">
              <w:t xml:space="preserve"> </w:t>
            </w:r>
            <w:bookmarkStart w:id="0" w:name="_GoBack"/>
            <w:bookmarkEnd w:id="0"/>
            <w:r w:rsidR="00A84EA9">
              <w:t>April</w:t>
            </w:r>
            <w:r>
              <w:t xml:space="preserve"> 2023</w:t>
            </w:r>
          </w:p>
        </w:tc>
      </w:tr>
    </w:tbl>
    <w:p w:rsidR="00793DD5" w:rsidRDefault="00793DD5" w:rsidP="0036503B">
      <w:r w:rsidRPr="00793DD5">
        <w:t xml:space="preserve">Your request for information is replicated below, together with </w:t>
      </w:r>
      <w:r w:rsidR="004341F0">
        <w:t>our</w:t>
      </w:r>
      <w:r w:rsidRPr="00793DD5">
        <w:t xml:space="preserve"> response.</w:t>
      </w:r>
    </w:p>
    <w:p w:rsidR="00060081" w:rsidRDefault="00060081" w:rsidP="0036503B">
      <w:pPr>
        <w:rPr>
          <w:b/>
        </w:rPr>
      </w:pPr>
      <w:r>
        <w:t xml:space="preserve">Please accept our apologies for the delay in responding. </w:t>
      </w:r>
    </w:p>
    <w:p w:rsidR="00060081" w:rsidRPr="00060081" w:rsidRDefault="00060081" w:rsidP="00060081">
      <w:pPr>
        <w:tabs>
          <w:tab w:val="left" w:pos="5400"/>
        </w:tabs>
        <w:rPr>
          <w:rFonts w:eastAsiaTheme="majorEastAsia" w:cstheme="majorBidi"/>
          <w:b/>
          <w:color w:val="000000" w:themeColor="text1"/>
          <w:szCs w:val="26"/>
        </w:rPr>
      </w:pPr>
      <w:r w:rsidRPr="00060081">
        <w:rPr>
          <w:rFonts w:eastAsiaTheme="majorEastAsia" w:cstheme="majorBidi"/>
          <w:b/>
          <w:color w:val="000000" w:themeColor="text1"/>
          <w:szCs w:val="26"/>
        </w:rPr>
        <w:t>I recently requested, and received, figures for the number of people who died in police custody. I am now looking for the same information for the number of deaths following police contact and reported to PIRC.</w:t>
      </w:r>
    </w:p>
    <w:p w:rsidR="00060081" w:rsidRPr="00060081" w:rsidRDefault="00060081" w:rsidP="00060081">
      <w:pPr>
        <w:tabs>
          <w:tab w:val="left" w:pos="5400"/>
        </w:tabs>
        <w:rPr>
          <w:rFonts w:eastAsiaTheme="majorEastAsia" w:cstheme="majorBidi"/>
          <w:b/>
          <w:color w:val="000000" w:themeColor="text1"/>
          <w:szCs w:val="26"/>
        </w:rPr>
      </w:pPr>
      <w:r w:rsidRPr="00060081">
        <w:rPr>
          <w:rFonts w:eastAsiaTheme="majorEastAsia" w:cstheme="majorBidi"/>
          <w:b/>
          <w:color w:val="000000" w:themeColor="text1"/>
          <w:szCs w:val="26"/>
        </w:rPr>
        <w:t>I am looking for the numbers broken down on an annual basis from Jan-Dec 2014-2022. Please provide this information in a spreadsheet.</w:t>
      </w:r>
    </w:p>
    <w:p w:rsidR="00060081" w:rsidRPr="00060081" w:rsidRDefault="00060081" w:rsidP="00060081">
      <w:pPr>
        <w:tabs>
          <w:tab w:val="left" w:pos="5400"/>
        </w:tabs>
        <w:rPr>
          <w:rFonts w:eastAsiaTheme="majorEastAsia" w:cstheme="majorBidi"/>
          <w:b/>
          <w:color w:val="000000" w:themeColor="text1"/>
          <w:szCs w:val="26"/>
        </w:rPr>
      </w:pPr>
      <w:r w:rsidRPr="00060081">
        <w:rPr>
          <w:rFonts w:eastAsiaTheme="majorEastAsia" w:cstheme="majorBidi"/>
          <w:b/>
          <w:color w:val="000000" w:themeColor="text1"/>
          <w:szCs w:val="26"/>
        </w:rPr>
        <w:t>This should cover the following points:</w:t>
      </w:r>
    </w:p>
    <w:p w:rsidR="00060081" w:rsidRPr="00060081" w:rsidRDefault="00060081" w:rsidP="00060081">
      <w:pPr>
        <w:tabs>
          <w:tab w:val="left" w:pos="5400"/>
        </w:tabs>
        <w:rPr>
          <w:rFonts w:eastAsiaTheme="majorEastAsia" w:cstheme="majorBidi"/>
          <w:b/>
          <w:color w:val="000000" w:themeColor="text1"/>
          <w:szCs w:val="26"/>
        </w:rPr>
      </w:pPr>
      <w:r w:rsidRPr="00060081">
        <w:rPr>
          <w:rFonts w:eastAsiaTheme="majorEastAsia" w:cstheme="majorBidi"/>
          <w:b/>
          <w:color w:val="000000" w:themeColor="text1"/>
          <w:szCs w:val="26"/>
        </w:rPr>
        <w:t>1. How many people have died in total following contact with Police Scotland?  Please provide figures on an annual basis and broken down by each of the 13 Police Scotland divisions.</w:t>
      </w:r>
    </w:p>
    <w:p w:rsidR="00060081" w:rsidRPr="00060081" w:rsidRDefault="00060081" w:rsidP="00060081">
      <w:pPr>
        <w:tabs>
          <w:tab w:val="left" w:pos="5400"/>
        </w:tabs>
        <w:rPr>
          <w:rFonts w:eastAsiaTheme="majorEastAsia" w:cstheme="majorBidi"/>
          <w:b/>
          <w:color w:val="000000" w:themeColor="text1"/>
          <w:szCs w:val="26"/>
        </w:rPr>
      </w:pPr>
      <w:r w:rsidRPr="00060081">
        <w:rPr>
          <w:rFonts w:eastAsiaTheme="majorEastAsia" w:cstheme="majorBidi"/>
          <w:b/>
          <w:color w:val="000000" w:themeColor="text1"/>
          <w:szCs w:val="26"/>
        </w:rPr>
        <w:t>2. Please provide ages and genders for all of those who have died in these circumstances.</w:t>
      </w:r>
    </w:p>
    <w:p w:rsidR="00060081" w:rsidRDefault="00060081" w:rsidP="00060081">
      <w:pPr>
        <w:tabs>
          <w:tab w:val="left" w:pos="5400"/>
        </w:tabs>
      </w:pPr>
      <w:r>
        <w:t>Having considered you</w:t>
      </w:r>
      <w:r w:rsidR="00DA1B9B">
        <w:t xml:space="preserve">r request in terms of the Act, it may provide useful additional context for you to consider the </w:t>
      </w:r>
      <w:r>
        <w:t xml:space="preserve">Police Scotland </w:t>
      </w:r>
      <w:hyperlink r:id="rId8" w:tooltip="Death Or Serious Injury In Police Custody National Guidance" w:history="1">
        <w:r w:rsidRPr="00060081">
          <w:rPr>
            <w:rStyle w:val="Hyperlink"/>
          </w:rPr>
          <w:t>Death or Serious Injury in Police Custody National Guidance</w:t>
        </w:r>
      </w:hyperlink>
      <w:r>
        <w:t>.</w:t>
      </w:r>
    </w:p>
    <w:p w:rsidR="00B409BD" w:rsidRDefault="00B409BD" w:rsidP="00060081">
      <w:pPr>
        <w:tabs>
          <w:tab w:val="left" w:pos="5400"/>
        </w:tabs>
      </w:pPr>
      <w:r>
        <w:t xml:space="preserve">Please also note that Police Scotland publish information relating to deaths and serious injuries in police custody or following police contact in our reporting to the Scottish Police Authority Complaints and Conduct Committee – further information can be found </w:t>
      </w:r>
      <w:hyperlink r:id="rId9" w:history="1">
        <w:r>
          <w:rPr>
            <w:color w:val="0000FF"/>
            <w:u w:val="single"/>
          </w:rPr>
          <w:t>here</w:t>
        </w:r>
      </w:hyperlink>
      <w:r>
        <w:t>.</w:t>
      </w:r>
    </w:p>
    <w:p w:rsidR="00060081" w:rsidRDefault="009E5C06" w:rsidP="00060081">
      <w:pPr>
        <w:tabs>
          <w:tab w:val="left" w:pos="5400"/>
        </w:tabs>
      </w:pPr>
      <w:r>
        <w:t xml:space="preserve">Data has been provided </w:t>
      </w:r>
      <w:r w:rsidR="00DA1B9B">
        <w:t>detailing</w:t>
      </w:r>
      <w:r w:rsidR="00060081" w:rsidRPr="00060081">
        <w:t xml:space="preserve"> the number of indivi</w:t>
      </w:r>
      <w:r w:rsidR="00060081">
        <w:t>duals attached to referrals to the Police Investigations and Review Commissioner (P</w:t>
      </w:r>
      <w:r w:rsidR="00060081" w:rsidRPr="00060081">
        <w:t>IRC</w:t>
      </w:r>
      <w:r w:rsidR="00060081">
        <w:t>)</w:t>
      </w:r>
      <w:r w:rsidR="00060081" w:rsidRPr="00060081">
        <w:t xml:space="preserve"> who have died following Police contact, broken down by year referred. </w:t>
      </w:r>
    </w:p>
    <w:p w:rsidR="00060081" w:rsidRPr="009E5C06" w:rsidRDefault="00060081" w:rsidP="00060081">
      <w:pPr>
        <w:tabs>
          <w:tab w:val="left" w:pos="5400"/>
        </w:tabs>
        <w:rPr>
          <w:color w:val="FF0000"/>
        </w:rPr>
      </w:pPr>
      <w:r w:rsidRPr="00060081">
        <w:t>Please note</w:t>
      </w:r>
      <w:r w:rsidR="00365ACC">
        <w:t>, for each of the tables listed below,</w:t>
      </w:r>
      <w:r w:rsidRPr="00060081">
        <w:t xml:space="preserve"> that a single referral may involve multiple deceased individuals, therefore the number of individuals may var</w:t>
      </w:r>
      <w:r w:rsidR="00903BAD">
        <w:t xml:space="preserve">y from the number of </w:t>
      </w:r>
      <w:r w:rsidR="00903BAD">
        <w:lastRenderedPageBreak/>
        <w:t>referrals (this is particularly relevant if you seek to compare referral figures published online as these figures may differ).</w:t>
      </w:r>
    </w:p>
    <w:p w:rsidR="00060081" w:rsidRPr="00060081" w:rsidRDefault="00060081" w:rsidP="00060081">
      <w:pPr>
        <w:tabs>
          <w:tab w:val="left" w:pos="5400"/>
        </w:tabs>
      </w:pPr>
      <w:r w:rsidRPr="00060081">
        <w:t xml:space="preserve">Furthermore, data has been provided based on the date of referral and this may vary from the date of the related incident. </w:t>
      </w:r>
    </w:p>
    <w:p w:rsidR="00060081" w:rsidRPr="00060081" w:rsidRDefault="00060081" w:rsidP="00060081">
      <w:pPr>
        <w:tabs>
          <w:tab w:val="left" w:pos="5400"/>
        </w:tabs>
      </w:pPr>
      <w:r w:rsidRPr="00060081">
        <w:t>Please note that data i</w:t>
      </w:r>
      <w:r>
        <w:t>s not held prior to 01/04/2014 and section 17 of the Act (information not held) therefore applies in respect of that data.</w:t>
      </w:r>
    </w:p>
    <w:p w:rsidR="00060081" w:rsidRPr="009E5C06" w:rsidRDefault="00060081" w:rsidP="00060081">
      <w:pPr>
        <w:tabs>
          <w:tab w:val="left" w:pos="5400"/>
        </w:tabs>
        <w:rPr>
          <w:color w:val="FF0000"/>
        </w:rPr>
      </w:pPr>
      <w:r w:rsidRPr="00060081">
        <w:rPr>
          <w:i/>
          <w:iCs/>
        </w:rPr>
        <w:t xml:space="preserve">Table: Deaths </w:t>
      </w:r>
      <w:r w:rsidR="00903BAD">
        <w:rPr>
          <w:i/>
          <w:iCs/>
        </w:rPr>
        <w:t xml:space="preserve">of Individuals </w:t>
      </w:r>
      <w:r w:rsidRPr="00060081">
        <w:rPr>
          <w:i/>
          <w:iCs/>
        </w:rPr>
        <w:t xml:space="preserve">Following Police Contact referred to PIRC, by Division </w:t>
      </w:r>
      <w:r>
        <w:rPr>
          <w:i/>
          <w:iCs/>
        </w:rPr>
        <w:t>&amp;</w:t>
      </w:r>
      <w:r w:rsidRPr="00060081">
        <w:rPr>
          <w:i/>
          <w:iCs/>
        </w:rPr>
        <w:t xml:space="preserve"> year referred </w:t>
      </w:r>
      <w:r w:rsidRPr="00060081">
        <w:rPr>
          <w:vertAlign w:val="superscript"/>
        </w:rPr>
        <w:t>1 2</w:t>
      </w:r>
    </w:p>
    <w:tbl>
      <w:tblPr>
        <w:tblW w:w="0" w:type="auto"/>
        <w:tblCellMar>
          <w:left w:w="0" w:type="dxa"/>
          <w:right w:w="0" w:type="dxa"/>
        </w:tblCellMar>
        <w:tblLook w:val="04A0" w:firstRow="1" w:lastRow="0" w:firstColumn="1" w:lastColumn="0" w:noHBand="0" w:noVBand="1"/>
      </w:tblPr>
      <w:tblGrid>
        <w:gridCol w:w="2661"/>
        <w:gridCol w:w="773"/>
        <w:gridCol w:w="773"/>
        <w:gridCol w:w="773"/>
        <w:gridCol w:w="773"/>
        <w:gridCol w:w="773"/>
        <w:gridCol w:w="773"/>
        <w:gridCol w:w="773"/>
        <w:gridCol w:w="773"/>
        <w:gridCol w:w="773"/>
      </w:tblGrid>
      <w:tr w:rsidR="00060081" w:rsidRPr="00060081" w:rsidTr="00060081">
        <w:trPr>
          <w:trHeight w:val="315"/>
        </w:trPr>
        <w:tc>
          <w:tcPr>
            <w:tcW w:w="34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Division</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2014</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2015</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2016</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2017</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2022</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North East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Tayside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7</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Highlands and Islands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Forth Valley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Edinburgh</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 xml:space="preserve">Lothians </w:t>
            </w:r>
            <w:r>
              <w:t>&amp;</w:t>
            </w:r>
            <w:r w:rsidRPr="00060081">
              <w:t xml:space="preserve"> Scottish Borders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Fife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Greater Glasgow</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 xml:space="preserve">Renfrewshire </w:t>
            </w:r>
            <w:r>
              <w:t>&amp;</w:t>
            </w:r>
            <w:r w:rsidRPr="00060081">
              <w:t xml:space="preserve"> Inverclyde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Lanarkshire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 xml:space="preserve">Argyll </w:t>
            </w:r>
            <w:r>
              <w:t>&amp;</w:t>
            </w:r>
            <w:r w:rsidRPr="00060081">
              <w:t xml:space="preserve"> West Dunbartonshire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Ayrshire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lastRenderedPageBreak/>
              <w:t>Dumfries and Galloway</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Grand 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27</w:t>
            </w:r>
          </w:p>
        </w:tc>
      </w:tr>
    </w:tbl>
    <w:p w:rsidR="00060081" w:rsidRPr="00060081" w:rsidRDefault="00060081" w:rsidP="00060081">
      <w:pPr>
        <w:tabs>
          <w:tab w:val="left" w:pos="5400"/>
        </w:tabs>
      </w:pPr>
      <w:r w:rsidRPr="00060081">
        <w:rPr>
          <w:i/>
          <w:iCs/>
        </w:rPr>
        <w:t xml:space="preserve">Table: Deaths </w:t>
      </w:r>
      <w:r w:rsidR="00903BAD">
        <w:rPr>
          <w:i/>
          <w:iCs/>
        </w:rPr>
        <w:t xml:space="preserve">of Individuals </w:t>
      </w:r>
      <w:r w:rsidRPr="00060081">
        <w:rPr>
          <w:i/>
          <w:iCs/>
        </w:rPr>
        <w:t xml:space="preserve">Following Police Contact referred to PIRC, by sex </w:t>
      </w:r>
      <w:r>
        <w:rPr>
          <w:i/>
          <w:iCs/>
        </w:rPr>
        <w:t>&amp;</w:t>
      </w:r>
      <w:r w:rsidRPr="00060081">
        <w:rPr>
          <w:i/>
          <w:iCs/>
        </w:rPr>
        <w:t xml:space="preserve"> year referred </w:t>
      </w:r>
      <w:r w:rsidRPr="00060081">
        <w:rPr>
          <w:vertAlign w:val="superscript"/>
        </w:rPr>
        <w:t>1 2</w:t>
      </w:r>
    </w:p>
    <w:tbl>
      <w:tblPr>
        <w:tblW w:w="0" w:type="auto"/>
        <w:tblCellMar>
          <w:left w:w="0" w:type="dxa"/>
          <w:right w:w="0" w:type="dxa"/>
        </w:tblCellMar>
        <w:tblLook w:val="04A0" w:firstRow="1" w:lastRow="0" w:firstColumn="1" w:lastColumn="0" w:noHBand="0" w:noVBand="1"/>
      </w:tblPr>
      <w:tblGrid>
        <w:gridCol w:w="2661"/>
        <w:gridCol w:w="773"/>
        <w:gridCol w:w="773"/>
        <w:gridCol w:w="773"/>
        <w:gridCol w:w="773"/>
        <w:gridCol w:w="773"/>
        <w:gridCol w:w="773"/>
        <w:gridCol w:w="773"/>
        <w:gridCol w:w="773"/>
        <w:gridCol w:w="773"/>
      </w:tblGrid>
      <w:tr w:rsidR="00060081" w:rsidRPr="00060081" w:rsidTr="00060081">
        <w:trPr>
          <w:trHeight w:val="315"/>
        </w:trPr>
        <w:tc>
          <w:tcPr>
            <w:tcW w:w="34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Sex</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2014</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2015</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2016</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2017</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2022</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Female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Male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23</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Grand 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27</w:t>
            </w:r>
          </w:p>
        </w:tc>
      </w:tr>
    </w:tbl>
    <w:p w:rsidR="00060081" w:rsidRPr="00060081" w:rsidRDefault="00060081" w:rsidP="00060081">
      <w:pPr>
        <w:tabs>
          <w:tab w:val="left" w:pos="5400"/>
        </w:tabs>
      </w:pPr>
      <w:r w:rsidRPr="00060081">
        <w:rPr>
          <w:i/>
          <w:iCs/>
        </w:rPr>
        <w:t xml:space="preserve">Table: Deaths </w:t>
      </w:r>
      <w:r w:rsidR="00903BAD">
        <w:rPr>
          <w:i/>
          <w:iCs/>
        </w:rPr>
        <w:t xml:space="preserve">of Individuals </w:t>
      </w:r>
      <w:r w:rsidRPr="00060081">
        <w:rPr>
          <w:i/>
          <w:iCs/>
        </w:rPr>
        <w:t xml:space="preserve">Following Police Contact referred to PIRC, by age group </w:t>
      </w:r>
      <w:r>
        <w:rPr>
          <w:i/>
          <w:iCs/>
        </w:rPr>
        <w:t>&amp;</w:t>
      </w:r>
      <w:r w:rsidRPr="00060081">
        <w:rPr>
          <w:i/>
          <w:iCs/>
        </w:rPr>
        <w:t xml:space="preserve"> year referred </w:t>
      </w:r>
      <w:r w:rsidRPr="00060081">
        <w:rPr>
          <w:vertAlign w:val="superscript"/>
        </w:rPr>
        <w:t>1 2</w:t>
      </w:r>
    </w:p>
    <w:tbl>
      <w:tblPr>
        <w:tblW w:w="0" w:type="auto"/>
        <w:tblCellMar>
          <w:left w:w="0" w:type="dxa"/>
          <w:right w:w="0" w:type="dxa"/>
        </w:tblCellMar>
        <w:tblLook w:val="04A0" w:firstRow="1" w:lastRow="0" w:firstColumn="1" w:lastColumn="0" w:noHBand="0" w:noVBand="1"/>
      </w:tblPr>
      <w:tblGrid>
        <w:gridCol w:w="2661"/>
        <w:gridCol w:w="773"/>
        <w:gridCol w:w="773"/>
        <w:gridCol w:w="773"/>
        <w:gridCol w:w="773"/>
        <w:gridCol w:w="773"/>
        <w:gridCol w:w="773"/>
        <w:gridCol w:w="773"/>
        <w:gridCol w:w="773"/>
        <w:gridCol w:w="773"/>
      </w:tblGrid>
      <w:tr w:rsidR="00060081" w:rsidRPr="00060081" w:rsidTr="00060081">
        <w:trPr>
          <w:trHeight w:val="315"/>
        </w:trPr>
        <w:tc>
          <w:tcPr>
            <w:tcW w:w="34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Age Group</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2014</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2015</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2016</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2017</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2018</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2022</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Under 21 years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21-30 years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31-40 years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8</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41-50 years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Over 50 years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10</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Unknown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pPr>
            <w:r w:rsidRPr="00060081">
              <w:t>0</w:t>
            </w:r>
          </w:p>
        </w:tc>
      </w:tr>
      <w:tr w:rsidR="00060081" w:rsidRPr="00060081" w:rsidTr="00060081">
        <w:trPr>
          <w:trHeight w:val="315"/>
        </w:trPr>
        <w:tc>
          <w:tcPr>
            <w:tcW w:w="34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Grand 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19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060081" w:rsidRPr="00060081" w:rsidRDefault="00060081" w:rsidP="00060081">
            <w:pPr>
              <w:tabs>
                <w:tab w:val="left" w:pos="5400"/>
              </w:tabs>
              <w:rPr>
                <w:b/>
                <w:bCs/>
              </w:rPr>
            </w:pPr>
            <w:r w:rsidRPr="00060081">
              <w:rPr>
                <w:b/>
                <w:bCs/>
              </w:rPr>
              <w:t>27</w:t>
            </w:r>
          </w:p>
        </w:tc>
      </w:tr>
    </w:tbl>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4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4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4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49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4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49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0081"/>
    <w:rsid w:val="00090F3B"/>
    <w:rsid w:val="000E6526"/>
    <w:rsid w:val="00141533"/>
    <w:rsid w:val="00167528"/>
    <w:rsid w:val="00186490"/>
    <w:rsid w:val="00195CC4"/>
    <w:rsid w:val="00253DF6"/>
    <w:rsid w:val="00255F1E"/>
    <w:rsid w:val="0036503B"/>
    <w:rsid w:val="00365ACC"/>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03BAD"/>
    <w:rsid w:val="009631A4"/>
    <w:rsid w:val="00977296"/>
    <w:rsid w:val="009E5C06"/>
    <w:rsid w:val="00A25E93"/>
    <w:rsid w:val="00A320FF"/>
    <w:rsid w:val="00A70AC0"/>
    <w:rsid w:val="00A84EA9"/>
    <w:rsid w:val="00AC443C"/>
    <w:rsid w:val="00B11A55"/>
    <w:rsid w:val="00B17211"/>
    <w:rsid w:val="00B409BD"/>
    <w:rsid w:val="00B461B2"/>
    <w:rsid w:val="00B71B3C"/>
    <w:rsid w:val="00BC389E"/>
    <w:rsid w:val="00BE1888"/>
    <w:rsid w:val="00BF6B81"/>
    <w:rsid w:val="00C077A8"/>
    <w:rsid w:val="00C606A2"/>
    <w:rsid w:val="00C63872"/>
    <w:rsid w:val="00C84948"/>
    <w:rsid w:val="00CF1111"/>
    <w:rsid w:val="00D05706"/>
    <w:rsid w:val="00D27DC5"/>
    <w:rsid w:val="00D47E36"/>
    <w:rsid w:val="00DA1B9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55245">
      <w:bodyDiv w:val="1"/>
      <w:marLeft w:val="0"/>
      <w:marRight w:val="0"/>
      <w:marTop w:val="0"/>
      <w:marBottom w:val="0"/>
      <w:divBdr>
        <w:top w:val="none" w:sz="0" w:space="0" w:color="auto"/>
        <w:left w:val="none" w:sz="0" w:space="0" w:color="auto"/>
        <w:bottom w:val="none" w:sz="0" w:space="0" w:color="auto"/>
        <w:right w:val="none" w:sz="0" w:space="0" w:color="auto"/>
      </w:divBdr>
    </w:div>
    <w:div w:id="17958335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hpsdce3p/death-or-serious-injury-in-police-custody-national-guidance.doc"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pa.police.uk/meetings/complaints-and-conduct-committe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731</Words>
  <Characters>4170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2023-04-26T10:24:00Z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