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214BA7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7324A0">
              <w:t>1437</w:t>
            </w:r>
          </w:p>
          <w:p w14:paraId="34BDABA6" w14:textId="090F191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A150B">
              <w:t>25</w:t>
            </w:r>
            <w:r w:rsidR="006D5799">
              <w:t xml:space="preserve"> </w:t>
            </w:r>
            <w:r w:rsidR="00B654B6">
              <w:t>J</w:t>
            </w:r>
            <w:r w:rsidR="00752ED6">
              <w:t>une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10D7A2F" w14:textId="26327C5E" w:rsidR="007324A0" w:rsidRDefault="007324A0" w:rsidP="0036503B">
      <w:pPr>
        <w:rPr>
          <w:b/>
        </w:rPr>
      </w:pPr>
      <w:r>
        <w:t>This FOI is a follow up to your previous request of 24-0999 which you have since asked:</w:t>
      </w:r>
    </w:p>
    <w:p w14:paraId="34BDABAA" w14:textId="40A8103D" w:rsidR="00496A08" w:rsidRDefault="007324A0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324A0">
        <w:rPr>
          <w:rFonts w:eastAsiaTheme="majorEastAsia" w:cstheme="majorBidi"/>
          <w:b/>
          <w:color w:val="000000" w:themeColor="text1"/>
          <w:szCs w:val="26"/>
        </w:rPr>
        <w:t xml:space="preserve">If you were able to provide data for the following, it would be very helpful </w:t>
      </w:r>
      <w:r w:rsidR="007E6E5D">
        <w:rPr>
          <w:rFonts w:eastAsiaTheme="majorEastAsia" w:cstheme="majorBidi"/>
          <w:b/>
          <w:color w:val="000000" w:themeColor="text1"/>
          <w:szCs w:val="26"/>
        </w:rPr>
        <w:t xml:space="preserve">- </w:t>
      </w:r>
      <w:r w:rsidRPr="007324A0">
        <w:rPr>
          <w:rFonts w:eastAsiaTheme="majorEastAsia" w:cstheme="majorBidi"/>
          <w:b/>
          <w:color w:val="000000" w:themeColor="text1"/>
          <w:szCs w:val="26"/>
        </w:rPr>
        <w:t>No Silencer Defective Exhaust</w:t>
      </w:r>
      <w:r>
        <w:rPr>
          <w:rFonts w:eastAsiaTheme="majorEastAsia" w:cstheme="majorBidi"/>
          <w:b/>
          <w:color w:val="000000" w:themeColor="text1"/>
          <w:szCs w:val="26"/>
        </w:rPr>
        <w:t>.</w:t>
      </w:r>
    </w:p>
    <w:p w14:paraId="3719A46B" w14:textId="77777777" w:rsidR="007324A0" w:rsidRDefault="007324A0" w:rsidP="007324A0">
      <w:r>
        <w:t xml:space="preserve">Please see below tables which confirm the number of fixed penalty notices and vehicle defect rectification tickets issued. </w:t>
      </w:r>
    </w:p>
    <w:p w14:paraId="7170E58A" w14:textId="5AB03FBC" w:rsidR="007324A0" w:rsidRPr="007E6E5D" w:rsidRDefault="007324A0" w:rsidP="007E6E5D">
      <w:r>
        <w:t>Please note, for information held before 2021, t</w:t>
      </w:r>
      <w:r w:rsidRPr="007324A0">
        <w:t>he information sought is not held by Police Scotland and section 17 of the Act therefore applies</w:t>
      </w:r>
      <w:r>
        <w:t xml:space="preserve">, unfortunately due to our older legacy systems we are unable to provide data using </w:t>
      </w:r>
      <w:r w:rsidRPr="007E6E5D">
        <w:t xml:space="preserve">the same codes. </w:t>
      </w:r>
    </w:p>
    <w:p w14:paraId="71629D45" w14:textId="51FC0FEC" w:rsidR="007324A0" w:rsidRPr="007E6E5D" w:rsidRDefault="007324A0" w:rsidP="007E6E5D">
      <w:r w:rsidRPr="007E6E5D">
        <w:t>Number of FPNs (fixed penalty notice) issued between 2021 – 2024: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umber of FPNs (fixed penalty notice) issued between 2021 – 2024"/>
        <w:tblDescription w:val="Number of FPNs (fixed penalty notice) issued between 2021 – 2024"/>
      </w:tblPr>
      <w:tblGrid>
        <w:gridCol w:w="2668"/>
        <w:gridCol w:w="844"/>
        <w:gridCol w:w="750"/>
        <w:gridCol w:w="750"/>
        <w:gridCol w:w="2921"/>
      </w:tblGrid>
      <w:tr w:rsidR="007E6E5D" w:rsidRPr="007E6E5D" w14:paraId="08429943" w14:textId="77777777" w:rsidTr="007E6E5D">
        <w:trPr>
          <w:trHeight w:val="580"/>
        </w:trPr>
        <w:tc>
          <w:tcPr>
            <w:tcW w:w="2668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4BCCF" w14:textId="0A630B10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84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C3BF9" w14:textId="2AA80F7C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2021*</w:t>
            </w:r>
          </w:p>
        </w:tc>
        <w:tc>
          <w:tcPr>
            <w:tcW w:w="75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59314" w14:textId="60DADFCF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2022</w:t>
            </w:r>
          </w:p>
        </w:tc>
        <w:tc>
          <w:tcPr>
            <w:tcW w:w="75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83505" w14:textId="038B492B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2023</w:t>
            </w:r>
          </w:p>
        </w:tc>
        <w:tc>
          <w:tcPr>
            <w:tcW w:w="292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6B09F" w14:textId="5AA22B53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2024 (01/01 - 31/05)</w:t>
            </w:r>
          </w:p>
        </w:tc>
      </w:tr>
      <w:tr w:rsidR="007E6E5D" w:rsidRPr="007E6E5D" w14:paraId="1AE34B22" w14:textId="77777777" w:rsidTr="007E6E5D">
        <w:trPr>
          <w:trHeight w:val="290"/>
        </w:trPr>
        <w:tc>
          <w:tcPr>
            <w:tcW w:w="2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6CB58" w14:textId="457B48B6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Defective Exhaust</w:t>
            </w:r>
          </w:p>
        </w:tc>
        <w:tc>
          <w:tcPr>
            <w:tcW w:w="8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3BD1E" w14:textId="34FC6E94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31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B130D" w14:textId="2F78E136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55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68375" w14:textId="6EF32247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92</w:t>
            </w:r>
          </w:p>
        </w:tc>
        <w:tc>
          <w:tcPr>
            <w:tcW w:w="2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E0004" w14:textId="70232F92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49</w:t>
            </w:r>
          </w:p>
        </w:tc>
      </w:tr>
      <w:tr w:rsidR="007E6E5D" w:rsidRPr="007E6E5D" w14:paraId="3EDAB8C6" w14:textId="77777777" w:rsidTr="007E6E5D">
        <w:trPr>
          <w:trHeight w:val="290"/>
        </w:trPr>
        <w:tc>
          <w:tcPr>
            <w:tcW w:w="2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FBC5D" w14:textId="69C5915E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No Silencer</w:t>
            </w:r>
          </w:p>
        </w:tc>
        <w:tc>
          <w:tcPr>
            <w:tcW w:w="8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A2762" w14:textId="0FAC0D85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54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5AE25" w14:textId="53339F95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83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6AF97" w14:textId="42F67038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73</w:t>
            </w:r>
          </w:p>
        </w:tc>
        <w:tc>
          <w:tcPr>
            <w:tcW w:w="2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AE7C9" w14:textId="2DCE4B81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40</w:t>
            </w:r>
          </w:p>
        </w:tc>
      </w:tr>
    </w:tbl>
    <w:p w14:paraId="7FAEC680" w14:textId="77777777" w:rsidR="006219D2" w:rsidRPr="007E6E5D" w:rsidRDefault="006219D2" w:rsidP="007E6E5D"/>
    <w:p w14:paraId="34BDABB8" w14:textId="37C86681" w:rsidR="00255F1E" w:rsidRPr="007E6E5D" w:rsidRDefault="006219D2" w:rsidP="007E6E5D">
      <w:r w:rsidRPr="007E6E5D">
        <w:t>Number of VDRS (Vehicle Defect Rectification Ticket) issued between 2021 – 2024: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umber of VDRS (Vehicle Defect Rectification Ticket) issued between 2021 – 2024"/>
        <w:tblDescription w:val="Number of VDRS (Vehicle Defect Rectification Ticket) issued between 2021 – 2024"/>
      </w:tblPr>
      <w:tblGrid>
        <w:gridCol w:w="2668"/>
        <w:gridCol w:w="844"/>
        <w:gridCol w:w="750"/>
        <w:gridCol w:w="750"/>
        <w:gridCol w:w="2921"/>
      </w:tblGrid>
      <w:tr w:rsidR="007E6E5D" w:rsidRPr="007E6E5D" w14:paraId="68EB37F0" w14:textId="77777777" w:rsidTr="007E6E5D">
        <w:trPr>
          <w:trHeight w:val="580"/>
        </w:trPr>
        <w:tc>
          <w:tcPr>
            <w:tcW w:w="2668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193A6" w14:textId="468399DC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84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A111B" w14:textId="75B82604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2021*</w:t>
            </w:r>
          </w:p>
        </w:tc>
        <w:tc>
          <w:tcPr>
            <w:tcW w:w="75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F35CB" w14:textId="2D4B6268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2022</w:t>
            </w:r>
          </w:p>
        </w:tc>
        <w:tc>
          <w:tcPr>
            <w:tcW w:w="75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F5F53" w14:textId="7FA5AB26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2023</w:t>
            </w:r>
          </w:p>
        </w:tc>
        <w:tc>
          <w:tcPr>
            <w:tcW w:w="292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8BDEF" w14:textId="558A6068" w:rsidR="007E6E5D" w:rsidRPr="007E6E5D" w:rsidRDefault="007E6E5D" w:rsidP="007E6E5D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7E6E5D">
              <w:rPr>
                <w:b/>
                <w:bCs/>
                <w:color w:val="000000"/>
                <w:lang w:eastAsia="en-GB"/>
              </w:rPr>
              <w:t>2024 (01/01 - 31/05)</w:t>
            </w:r>
          </w:p>
        </w:tc>
      </w:tr>
      <w:tr w:rsidR="007E6E5D" w:rsidRPr="007E6E5D" w14:paraId="266792CE" w14:textId="77777777" w:rsidTr="007E6E5D">
        <w:trPr>
          <w:trHeight w:val="290"/>
        </w:trPr>
        <w:tc>
          <w:tcPr>
            <w:tcW w:w="2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EB3CE" w14:textId="2B3B9D64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Defective Exhaust</w:t>
            </w:r>
          </w:p>
        </w:tc>
        <w:tc>
          <w:tcPr>
            <w:tcW w:w="8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4C2E5" w14:textId="2A164F8D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43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5BBF6" w14:textId="72393EC1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151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88E01" w14:textId="6597C4A8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153</w:t>
            </w:r>
          </w:p>
        </w:tc>
        <w:tc>
          <w:tcPr>
            <w:tcW w:w="2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C9AB3" w14:textId="2C3D4677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70</w:t>
            </w:r>
          </w:p>
        </w:tc>
      </w:tr>
      <w:tr w:rsidR="007E6E5D" w:rsidRPr="007E6E5D" w14:paraId="2AB04045" w14:textId="77777777" w:rsidTr="007E6E5D">
        <w:trPr>
          <w:trHeight w:val="290"/>
        </w:trPr>
        <w:tc>
          <w:tcPr>
            <w:tcW w:w="2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396C9" w14:textId="379E1DCC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No Silencer</w:t>
            </w:r>
          </w:p>
        </w:tc>
        <w:tc>
          <w:tcPr>
            <w:tcW w:w="8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C554A" w14:textId="72C63E35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20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0E189" w14:textId="49A48CF9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49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080E" w14:textId="31CD6FC1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82</w:t>
            </w:r>
          </w:p>
        </w:tc>
        <w:tc>
          <w:tcPr>
            <w:tcW w:w="2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6DF46" w14:textId="418509B4" w:rsidR="007E6E5D" w:rsidRPr="007E6E5D" w:rsidRDefault="007E6E5D" w:rsidP="007E6E5D">
            <w:pPr>
              <w:spacing w:line="240" w:lineRule="auto"/>
              <w:rPr>
                <w:color w:val="000000"/>
                <w:lang w:eastAsia="en-GB"/>
              </w:rPr>
            </w:pPr>
            <w:r w:rsidRPr="007E6E5D">
              <w:rPr>
                <w:color w:val="000000"/>
                <w:lang w:eastAsia="en-GB"/>
              </w:rPr>
              <w:t>32</w:t>
            </w:r>
          </w:p>
        </w:tc>
      </w:tr>
    </w:tbl>
    <w:p w14:paraId="34BDABBD" w14:textId="77777777" w:rsidR="00BF6B81" w:rsidRPr="007E6E5D" w:rsidRDefault="00BF6B81" w:rsidP="007E6E5D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2758B1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24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7FEB2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24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7621B7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24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7D81A4E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24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189C19C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24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29AC97F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24E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219D2"/>
    <w:rsid w:val="00645CFA"/>
    <w:rsid w:val="006824E7"/>
    <w:rsid w:val="006A150B"/>
    <w:rsid w:val="006D5799"/>
    <w:rsid w:val="007324A0"/>
    <w:rsid w:val="00750D83"/>
    <w:rsid w:val="00752ED6"/>
    <w:rsid w:val="00785DBC"/>
    <w:rsid w:val="00793DD5"/>
    <w:rsid w:val="007D55F6"/>
    <w:rsid w:val="007E6E5D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F1111"/>
    <w:rsid w:val="00D05706"/>
    <w:rsid w:val="00D27DC5"/>
    <w:rsid w:val="00D47E36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2024-06-25T09:14:00Z</cp:lastPrinted>
  <dcterms:created xsi:type="dcterms:W3CDTF">2023-12-08T11:52:00Z</dcterms:created>
  <dcterms:modified xsi:type="dcterms:W3CDTF">2024-06-25T09:15:00Z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