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41F0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41C23">
              <w:t>2457</w:t>
            </w:r>
          </w:p>
          <w:p w14:paraId="34BDABA6" w14:textId="79BE90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1C23">
              <w:t>27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D63CB1" w14:textId="77777777" w:rsidR="00D5537F" w:rsidRPr="00D5537F" w:rsidRDefault="00D5537F" w:rsidP="00D5537F">
      <w:pPr>
        <w:pStyle w:val="Heading2"/>
      </w:pPr>
      <w:r w:rsidRPr="00D5537F">
        <w:rPr>
          <w:bCs/>
        </w:rPr>
        <w:t>Exit survey / leaver</w:t>
      </w:r>
      <w:r w:rsidRPr="00D5537F">
        <w:rPr>
          <w:bCs/>
        </w:rPr>
        <w:noBreakHyphen/>
        <w:t>form data breakdown by financial year</w:t>
      </w:r>
      <w:r w:rsidRPr="00D5537F">
        <w:br/>
        <w:t>For each of the last five financial years (2020/21, 2021/22, 2022/23, 2023/24 and 2024/25), please provide:</w:t>
      </w:r>
    </w:p>
    <w:p w14:paraId="43E331AF" w14:textId="77777777" w:rsidR="00D5537F" w:rsidRPr="00D5537F" w:rsidRDefault="00D5537F" w:rsidP="00D5537F">
      <w:pPr>
        <w:pStyle w:val="Heading2"/>
      </w:pPr>
      <w:r w:rsidRPr="00D5537F">
        <w:t>A full list of reasons or reason categories cited by police officers when completing exit surveys or other leaver forms upon resignation (including early retirement before standard pension age).</w:t>
      </w:r>
    </w:p>
    <w:p w14:paraId="7DF5E92D" w14:textId="77777777" w:rsidR="00D5537F" w:rsidRDefault="00D5537F" w:rsidP="00D5537F">
      <w:pPr>
        <w:pStyle w:val="Heading2"/>
      </w:pPr>
      <w:r w:rsidRPr="00D5537F">
        <w:t>Data in the form of numerical counts and/or percentage shares for each reason/category within each financial year cohort.</w:t>
      </w:r>
    </w:p>
    <w:p w14:paraId="1FDC9D63" w14:textId="209874D1" w:rsidR="00776498" w:rsidRDefault="00776498" w:rsidP="00776498">
      <w:pPr>
        <w:spacing w:after="0"/>
        <w:jc w:val="both"/>
        <w:rPr>
          <w:color w:val="000000"/>
        </w:rPr>
      </w:pPr>
      <w:r w:rsidRPr="00744CA9">
        <w:rPr>
          <w:color w:val="000000"/>
        </w:rPr>
        <w:t xml:space="preserve">The data presented has been extracted from Police Scotland’s System to Co-ordination Personnel and Establishment (SCOPE) database. </w:t>
      </w:r>
      <w:r>
        <w:rPr>
          <w:color w:val="000000"/>
        </w:rPr>
        <w:t xml:space="preserve"> </w:t>
      </w:r>
    </w:p>
    <w:p w14:paraId="3A9AD6D9" w14:textId="77777777" w:rsidR="00EB2147" w:rsidRDefault="00776498" w:rsidP="00776498">
      <w:pPr>
        <w:spacing w:after="0"/>
        <w:jc w:val="both"/>
        <w:rPr>
          <w:bCs/>
        </w:rPr>
      </w:pPr>
      <w:r w:rsidRPr="00DC1391">
        <w:rPr>
          <w:bCs/>
        </w:rPr>
        <w:t>The data provided below has been extracted from the leavers form that must be completed when an individual leaves the organisation.</w:t>
      </w:r>
      <w:r>
        <w:rPr>
          <w:bCs/>
        </w:rPr>
        <w:t xml:space="preserve"> This is usually complete</w:t>
      </w:r>
      <w:r w:rsidR="00EB2147">
        <w:rPr>
          <w:bCs/>
        </w:rPr>
        <w:t>d</w:t>
      </w:r>
      <w:r>
        <w:rPr>
          <w:bCs/>
        </w:rPr>
        <w:t xml:space="preserve"> by the individual and signals their intention to leave and begins the process of leaving the organisation. </w:t>
      </w:r>
    </w:p>
    <w:p w14:paraId="357EB4A3" w14:textId="77777777" w:rsidR="00EB2147" w:rsidRDefault="00776498" w:rsidP="00776498">
      <w:pPr>
        <w:spacing w:after="0"/>
        <w:jc w:val="both"/>
        <w:rPr>
          <w:bCs/>
        </w:rPr>
      </w:pPr>
      <w:r>
        <w:rPr>
          <w:bCs/>
        </w:rPr>
        <w:t xml:space="preserve">If an individual cannot complete this, it will be complete on their behalf. </w:t>
      </w:r>
    </w:p>
    <w:p w14:paraId="6D8E96A2" w14:textId="613125A9" w:rsidR="00776498" w:rsidRDefault="00776498" w:rsidP="00776498">
      <w:pPr>
        <w:spacing w:after="0"/>
        <w:jc w:val="both"/>
        <w:rPr>
          <w:bCs/>
        </w:rPr>
      </w:pPr>
      <w:r>
        <w:rPr>
          <w:bCs/>
        </w:rPr>
        <w:t>This data has been used as it is more complete than the exit survey (which is optional to complete).</w:t>
      </w:r>
    </w:p>
    <w:p w14:paraId="7EF0154A" w14:textId="6B6A5A25" w:rsidR="00D5537F" w:rsidRDefault="00A26FD2" w:rsidP="00D5537F">
      <w:r>
        <w:t>The table below provides percentage data for each reason/category for leaving broken down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8"/>
        <w:gridCol w:w="1084"/>
        <w:gridCol w:w="1084"/>
        <w:gridCol w:w="1084"/>
        <w:gridCol w:w="1084"/>
        <w:gridCol w:w="1084"/>
      </w:tblGrid>
      <w:tr w:rsidR="00D5537F" w:rsidRPr="00EB2147" w14:paraId="359A67A8" w14:textId="77777777" w:rsidTr="00EB214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521CE7D" w14:textId="50F568F3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Reason for leaving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FB79B7" w14:textId="23BC31DA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2022/21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791A6E" w14:textId="0B840F8B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2021/22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F7A33D" w14:textId="053C711E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2022/23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3E1441" w14:textId="0B86441A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2023/24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9BEB2F" w14:textId="71088803" w:rsidR="00D5537F" w:rsidRPr="00EB2147" w:rsidRDefault="00D5537F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2024/25</w:t>
            </w:r>
          </w:p>
        </w:tc>
      </w:tr>
      <w:tr w:rsidR="00D5537F" w:rsidRPr="00EB2147" w14:paraId="0F90AC72" w14:textId="77777777" w:rsidTr="00A26FD2">
        <w:tc>
          <w:tcPr>
            <w:tcW w:w="0" w:type="auto"/>
          </w:tcPr>
          <w:p w14:paraId="7F875BFD" w14:textId="29602900" w:rsidR="00D5537F" w:rsidRPr="00EB2147" w:rsidRDefault="00D5537F" w:rsidP="00EB2147">
            <w:pPr>
              <w:spacing w:line="240" w:lineRule="auto"/>
            </w:pPr>
            <w:r w:rsidRPr="00EB2147">
              <w:t>Death in service</w:t>
            </w:r>
          </w:p>
        </w:tc>
        <w:tc>
          <w:tcPr>
            <w:tcW w:w="0" w:type="auto"/>
          </w:tcPr>
          <w:p w14:paraId="06E0EF73" w14:textId="4678CBE1" w:rsidR="00D5537F" w:rsidRPr="00EB2147" w:rsidRDefault="00D5537F" w:rsidP="00EB2147">
            <w:pPr>
              <w:spacing w:line="240" w:lineRule="auto"/>
            </w:pPr>
            <w:r w:rsidRPr="00EB2147">
              <w:t>0.84%</w:t>
            </w:r>
          </w:p>
        </w:tc>
        <w:tc>
          <w:tcPr>
            <w:tcW w:w="0" w:type="auto"/>
          </w:tcPr>
          <w:p w14:paraId="7E4ED009" w14:textId="5DF09C6D" w:rsidR="00D5537F" w:rsidRPr="00EB2147" w:rsidRDefault="00D5537F" w:rsidP="00EB2147">
            <w:pPr>
              <w:spacing w:line="240" w:lineRule="auto"/>
            </w:pPr>
            <w:r w:rsidRPr="00EB2147">
              <w:rPr>
                <w:color w:val="000000"/>
                <w:lang w:eastAsia="en-GB"/>
              </w:rPr>
              <w:t>0.42%</w:t>
            </w:r>
          </w:p>
        </w:tc>
        <w:tc>
          <w:tcPr>
            <w:tcW w:w="0" w:type="auto"/>
          </w:tcPr>
          <w:p w14:paraId="308FF17E" w14:textId="25AF4ED8" w:rsidR="00D5537F" w:rsidRPr="00EB2147" w:rsidRDefault="00D5537F" w:rsidP="00EB2147">
            <w:pPr>
              <w:spacing w:line="240" w:lineRule="auto"/>
            </w:pPr>
            <w:r w:rsidRPr="00EB2147">
              <w:rPr>
                <w:color w:val="000000"/>
                <w:lang w:eastAsia="en-GB"/>
              </w:rPr>
              <w:t>0.54%</w:t>
            </w:r>
          </w:p>
        </w:tc>
        <w:tc>
          <w:tcPr>
            <w:tcW w:w="0" w:type="auto"/>
          </w:tcPr>
          <w:p w14:paraId="1D302AF1" w14:textId="5F3B1172" w:rsidR="00D5537F" w:rsidRPr="00EB2147" w:rsidRDefault="00D5537F" w:rsidP="00EB2147">
            <w:pPr>
              <w:spacing w:line="240" w:lineRule="auto"/>
            </w:pPr>
            <w:r w:rsidRPr="00EB2147">
              <w:rPr>
                <w:color w:val="000000"/>
                <w:lang w:eastAsia="en-GB"/>
              </w:rPr>
              <w:t>0.94%</w:t>
            </w:r>
          </w:p>
        </w:tc>
        <w:tc>
          <w:tcPr>
            <w:tcW w:w="0" w:type="auto"/>
          </w:tcPr>
          <w:p w14:paraId="5BEC33EB" w14:textId="3033AFC0" w:rsidR="00D5537F" w:rsidRPr="00EB2147" w:rsidRDefault="00D5537F" w:rsidP="00EB2147">
            <w:pPr>
              <w:spacing w:line="240" w:lineRule="auto"/>
            </w:pPr>
            <w:r w:rsidRPr="00EB2147">
              <w:rPr>
                <w:color w:val="000000"/>
                <w:lang w:eastAsia="en-GB"/>
              </w:rPr>
              <w:t>0.84%</w:t>
            </w:r>
          </w:p>
        </w:tc>
      </w:tr>
      <w:tr w:rsidR="00D5537F" w:rsidRPr="00EB2147" w14:paraId="2B4DB526" w14:textId="77777777" w:rsidTr="00A26FD2">
        <w:tc>
          <w:tcPr>
            <w:tcW w:w="0" w:type="auto"/>
          </w:tcPr>
          <w:p w14:paraId="3C343E5F" w14:textId="105A08F5" w:rsidR="00D5537F" w:rsidRPr="00EB2147" w:rsidRDefault="00D5537F" w:rsidP="00EB2147">
            <w:pPr>
              <w:spacing w:line="240" w:lineRule="auto"/>
            </w:pPr>
            <w:r w:rsidRPr="00EB2147">
              <w:t>Dismissal</w:t>
            </w:r>
          </w:p>
        </w:tc>
        <w:tc>
          <w:tcPr>
            <w:tcW w:w="0" w:type="auto"/>
          </w:tcPr>
          <w:p w14:paraId="3B499BC0" w14:textId="72EBAE65" w:rsidR="00D5537F" w:rsidRPr="00EB2147" w:rsidRDefault="00D5537F" w:rsidP="00EB2147">
            <w:pPr>
              <w:spacing w:line="240" w:lineRule="auto"/>
            </w:pPr>
            <w:r w:rsidRPr="00EB2147">
              <w:t>0.34%</w:t>
            </w:r>
          </w:p>
        </w:tc>
        <w:tc>
          <w:tcPr>
            <w:tcW w:w="0" w:type="auto"/>
          </w:tcPr>
          <w:p w14:paraId="11E8FB68" w14:textId="4E4245E0" w:rsidR="00D5537F" w:rsidRPr="00EB2147" w:rsidRDefault="00A26FD2" w:rsidP="00EB2147">
            <w:pPr>
              <w:spacing w:line="240" w:lineRule="auto"/>
            </w:pPr>
            <w:r w:rsidRPr="00EB2147">
              <w:t>0.33%</w:t>
            </w:r>
          </w:p>
        </w:tc>
        <w:tc>
          <w:tcPr>
            <w:tcW w:w="0" w:type="auto"/>
          </w:tcPr>
          <w:p w14:paraId="3201726A" w14:textId="0E903E8D" w:rsidR="00D5537F" w:rsidRPr="00EB2147" w:rsidRDefault="00A26FD2" w:rsidP="00EB2147">
            <w:pPr>
              <w:spacing w:line="240" w:lineRule="auto"/>
            </w:pPr>
            <w:r w:rsidRPr="00EB2147">
              <w:t>0.39%</w:t>
            </w:r>
          </w:p>
        </w:tc>
        <w:tc>
          <w:tcPr>
            <w:tcW w:w="0" w:type="auto"/>
          </w:tcPr>
          <w:p w14:paraId="7C8F17BC" w14:textId="2959F6A4" w:rsidR="00D5537F" w:rsidRPr="00EB2147" w:rsidRDefault="00A26FD2" w:rsidP="00EB2147">
            <w:pPr>
              <w:spacing w:line="240" w:lineRule="auto"/>
            </w:pPr>
            <w:r w:rsidRPr="00EB2147">
              <w:t>1.17%</w:t>
            </w:r>
          </w:p>
        </w:tc>
        <w:tc>
          <w:tcPr>
            <w:tcW w:w="0" w:type="auto"/>
          </w:tcPr>
          <w:p w14:paraId="188E6F3A" w14:textId="6AC3D70F" w:rsidR="00D5537F" w:rsidRPr="00EB2147" w:rsidRDefault="00A26FD2" w:rsidP="00EB2147">
            <w:pPr>
              <w:spacing w:line="240" w:lineRule="auto"/>
            </w:pPr>
            <w:r w:rsidRPr="00EB2147">
              <w:t>0.96%</w:t>
            </w:r>
          </w:p>
        </w:tc>
      </w:tr>
      <w:tr w:rsidR="00D5537F" w:rsidRPr="00EB2147" w14:paraId="32FED25A" w14:textId="77777777" w:rsidTr="00A26FD2">
        <w:tc>
          <w:tcPr>
            <w:tcW w:w="0" w:type="auto"/>
          </w:tcPr>
          <w:p w14:paraId="5F2B4BAB" w14:textId="0E340584" w:rsidR="00D5537F" w:rsidRPr="00EB2147" w:rsidRDefault="00D5537F" w:rsidP="00EB2147">
            <w:pPr>
              <w:spacing w:line="240" w:lineRule="auto"/>
            </w:pPr>
            <w:r w:rsidRPr="00EB2147">
              <w:rPr>
                <w:lang w:eastAsia="en-GB"/>
              </w:rPr>
              <w:t>End of temporary contract</w:t>
            </w:r>
          </w:p>
        </w:tc>
        <w:tc>
          <w:tcPr>
            <w:tcW w:w="0" w:type="auto"/>
          </w:tcPr>
          <w:p w14:paraId="1B02C94C" w14:textId="3204C211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54F12AD8" w14:textId="7B95D765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43059030" w14:textId="3E7539FF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4779549C" w14:textId="14B9ABE9" w:rsidR="00D5537F" w:rsidRPr="00EB2147" w:rsidRDefault="00A26FD2" w:rsidP="00EB2147">
            <w:pPr>
              <w:spacing w:line="240" w:lineRule="auto"/>
            </w:pPr>
            <w:r w:rsidRPr="00EB2147">
              <w:t>0.12%</w:t>
            </w:r>
          </w:p>
        </w:tc>
        <w:tc>
          <w:tcPr>
            <w:tcW w:w="0" w:type="auto"/>
          </w:tcPr>
          <w:p w14:paraId="14AFAFFA" w14:textId="323ED2AA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</w:tr>
      <w:tr w:rsidR="00D5537F" w:rsidRPr="00EB2147" w14:paraId="68B986B7" w14:textId="77777777" w:rsidTr="00A26FD2">
        <w:tc>
          <w:tcPr>
            <w:tcW w:w="0" w:type="auto"/>
          </w:tcPr>
          <w:p w14:paraId="74D899F0" w14:textId="64D7501B" w:rsidR="00D5537F" w:rsidRPr="00EB2147" w:rsidRDefault="00D5537F" w:rsidP="00EB2147">
            <w:pPr>
              <w:spacing w:line="240" w:lineRule="auto"/>
            </w:pPr>
            <w:r w:rsidRPr="00EB2147">
              <w:rPr>
                <w:lang w:eastAsia="en-GB"/>
              </w:rPr>
              <w:lastRenderedPageBreak/>
              <w:t>Regulation 9 - Resignation</w:t>
            </w:r>
          </w:p>
        </w:tc>
        <w:tc>
          <w:tcPr>
            <w:tcW w:w="0" w:type="auto"/>
          </w:tcPr>
          <w:p w14:paraId="349684D3" w14:textId="071787A1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0D725737" w14:textId="2CBAE1F6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7688942C" w14:textId="187B763B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70A948DA" w14:textId="73B85E7B" w:rsidR="00D5537F" w:rsidRPr="00EB2147" w:rsidRDefault="00A26FD2" w:rsidP="00EB2147">
            <w:pPr>
              <w:spacing w:line="240" w:lineRule="auto"/>
            </w:pPr>
            <w:r w:rsidRPr="00EB2147">
              <w:t>0.23%</w:t>
            </w:r>
          </w:p>
        </w:tc>
        <w:tc>
          <w:tcPr>
            <w:tcW w:w="0" w:type="auto"/>
          </w:tcPr>
          <w:p w14:paraId="295CD08D" w14:textId="7E511174" w:rsidR="00D5537F" w:rsidRPr="00EB2147" w:rsidRDefault="00A26FD2" w:rsidP="00EB2147">
            <w:pPr>
              <w:spacing w:line="240" w:lineRule="auto"/>
            </w:pPr>
            <w:r w:rsidRPr="00EB2147">
              <w:t>1.20%</w:t>
            </w:r>
          </w:p>
        </w:tc>
      </w:tr>
      <w:tr w:rsidR="00D5537F" w:rsidRPr="00EB2147" w14:paraId="37CBC212" w14:textId="77777777" w:rsidTr="00A26FD2">
        <w:tc>
          <w:tcPr>
            <w:tcW w:w="0" w:type="auto"/>
          </w:tcPr>
          <w:p w14:paraId="3071FDFD" w14:textId="354B4574" w:rsidR="00D5537F" w:rsidRPr="00EB2147" w:rsidRDefault="00D5537F" w:rsidP="00EB2147">
            <w:pPr>
              <w:spacing w:line="240" w:lineRule="auto"/>
            </w:pPr>
            <w:r w:rsidRPr="00EB2147">
              <w:rPr>
                <w:lang w:eastAsia="en-GB"/>
              </w:rPr>
              <w:t>Resignation - education</w:t>
            </w:r>
          </w:p>
        </w:tc>
        <w:tc>
          <w:tcPr>
            <w:tcW w:w="0" w:type="auto"/>
          </w:tcPr>
          <w:p w14:paraId="20298EC8" w14:textId="1FA26077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1.35%</w:t>
            </w:r>
          </w:p>
        </w:tc>
        <w:tc>
          <w:tcPr>
            <w:tcW w:w="0" w:type="auto"/>
          </w:tcPr>
          <w:p w14:paraId="75574726" w14:textId="139A8237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0.75%</w:t>
            </w:r>
          </w:p>
        </w:tc>
        <w:tc>
          <w:tcPr>
            <w:tcW w:w="0" w:type="auto"/>
          </w:tcPr>
          <w:p w14:paraId="30517B5C" w14:textId="0EF6C708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0.61%</w:t>
            </w:r>
          </w:p>
        </w:tc>
        <w:tc>
          <w:tcPr>
            <w:tcW w:w="0" w:type="auto"/>
          </w:tcPr>
          <w:p w14:paraId="40F64A52" w14:textId="03DEC9E0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0.59%</w:t>
            </w:r>
          </w:p>
        </w:tc>
        <w:tc>
          <w:tcPr>
            <w:tcW w:w="0" w:type="auto"/>
          </w:tcPr>
          <w:p w14:paraId="438DF3B8" w14:textId="47BA273B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0.72%</w:t>
            </w:r>
          </w:p>
        </w:tc>
      </w:tr>
      <w:tr w:rsidR="00D5537F" w:rsidRPr="00EB2147" w14:paraId="745A9D12" w14:textId="77777777" w:rsidTr="00A26FD2">
        <w:tc>
          <w:tcPr>
            <w:tcW w:w="0" w:type="auto"/>
          </w:tcPr>
          <w:p w14:paraId="1EE0F96B" w14:textId="1931F9B7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Resignation - Other Employment</w:t>
            </w:r>
          </w:p>
        </w:tc>
        <w:tc>
          <w:tcPr>
            <w:tcW w:w="0" w:type="auto"/>
          </w:tcPr>
          <w:p w14:paraId="37CD3F49" w14:textId="5EBD8492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6.90%</w:t>
            </w:r>
          </w:p>
        </w:tc>
        <w:tc>
          <w:tcPr>
            <w:tcW w:w="0" w:type="auto"/>
          </w:tcPr>
          <w:p w14:paraId="58019CF3" w14:textId="35A428C9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8.10%</w:t>
            </w:r>
          </w:p>
        </w:tc>
        <w:tc>
          <w:tcPr>
            <w:tcW w:w="0" w:type="auto"/>
          </w:tcPr>
          <w:p w14:paraId="50EEF06A" w14:textId="33E2F741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7.25%</w:t>
            </w:r>
          </w:p>
        </w:tc>
        <w:tc>
          <w:tcPr>
            <w:tcW w:w="0" w:type="auto"/>
          </w:tcPr>
          <w:p w14:paraId="798A000D" w14:textId="42CC8739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13.85%</w:t>
            </w:r>
          </w:p>
        </w:tc>
        <w:tc>
          <w:tcPr>
            <w:tcW w:w="0" w:type="auto"/>
          </w:tcPr>
          <w:p w14:paraId="3E30E1FE" w14:textId="0429D64B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11.86%</w:t>
            </w:r>
          </w:p>
        </w:tc>
      </w:tr>
      <w:tr w:rsidR="00D5537F" w:rsidRPr="00EB2147" w14:paraId="483D5217" w14:textId="77777777" w:rsidTr="00A26FD2">
        <w:tc>
          <w:tcPr>
            <w:tcW w:w="0" w:type="auto"/>
          </w:tcPr>
          <w:p w14:paraId="5348A689" w14:textId="27CEDA15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Resignation - personal</w:t>
            </w:r>
          </w:p>
        </w:tc>
        <w:tc>
          <w:tcPr>
            <w:tcW w:w="0" w:type="auto"/>
          </w:tcPr>
          <w:p w14:paraId="2529BE4C" w14:textId="62C85D61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9.93%</w:t>
            </w:r>
          </w:p>
        </w:tc>
        <w:tc>
          <w:tcPr>
            <w:tcW w:w="0" w:type="auto"/>
          </w:tcPr>
          <w:p w14:paraId="4D762BFF" w14:textId="662170BE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10.13%</w:t>
            </w:r>
          </w:p>
        </w:tc>
        <w:tc>
          <w:tcPr>
            <w:tcW w:w="0" w:type="auto"/>
          </w:tcPr>
          <w:p w14:paraId="4982ACEE" w14:textId="0E950432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7.17%</w:t>
            </w:r>
          </w:p>
        </w:tc>
        <w:tc>
          <w:tcPr>
            <w:tcW w:w="0" w:type="auto"/>
          </w:tcPr>
          <w:p w14:paraId="3530F164" w14:textId="67476D1F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15.02%</w:t>
            </w:r>
          </w:p>
        </w:tc>
        <w:tc>
          <w:tcPr>
            <w:tcW w:w="0" w:type="auto"/>
          </w:tcPr>
          <w:p w14:paraId="31A95562" w14:textId="33963849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15.81%</w:t>
            </w:r>
          </w:p>
        </w:tc>
      </w:tr>
      <w:tr w:rsidR="00D5537F" w:rsidRPr="00EB2147" w14:paraId="416C3FAB" w14:textId="77777777" w:rsidTr="00A26FD2">
        <w:tc>
          <w:tcPr>
            <w:tcW w:w="0" w:type="auto"/>
            <w:vAlign w:val="center"/>
          </w:tcPr>
          <w:p w14:paraId="73830CC0" w14:textId="1D8336DC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Retirement - 25-30 years</w:t>
            </w:r>
          </w:p>
        </w:tc>
        <w:tc>
          <w:tcPr>
            <w:tcW w:w="0" w:type="auto"/>
          </w:tcPr>
          <w:p w14:paraId="058D1E23" w14:textId="335A94BF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11.95%</w:t>
            </w:r>
          </w:p>
        </w:tc>
        <w:tc>
          <w:tcPr>
            <w:tcW w:w="0" w:type="auto"/>
          </w:tcPr>
          <w:p w14:paraId="11C9C5E9" w14:textId="77739B57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13.11%</w:t>
            </w:r>
          </w:p>
        </w:tc>
        <w:tc>
          <w:tcPr>
            <w:tcW w:w="0" w:type="auto"/>
          </w:tcPr>
          <w:p w14:paraId="04BA4108" w14:textId="35C95F0B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47.83%</w:t>
            </w:r>
          </w:p>
        </w:tc>
        <w:tc>
          <w:tcPr>
            <w:tcW w:w="0" w:type="auto"/>
          </w:tcPr>
          <w:p w14:paraId="785D8B06" w14:textId="4829FF0F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40.96%</w:t>
            </w:r>
          </w:p>
        </w:tc>
        <w:tc>
          <w:tcPr>
            <w:tcW w:w="0" w:type="auto"/>
          </w:tcPr>
          <w:p w14:paraId="37AB4B15" w14:textId="75EB42B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38.92%</w:t>
            </w:r>
          </w:p>
        </w:tc>
      </w:tr>
      <w:tr w:rsidR="00D5537F" w:rsidRPr="00EB2147" w14:paraId="3C46B57B" w14:textId="77777777" w:rsidTr="00A26FD2">
        <w:tc>
          <w:tcPr>
            <w:tcW w:w="0" w:type="auto"/>
          </w:tcPr>
          <w:p w14:paraId="70D35132" w14:textId="1BB2C948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Retirement - medical</w:t>
            </w:r>
          </w:p>
        </w:tc>
        <w:tc>
          <w:tcPr>
            <w:tcW w:w="0" w:type="auto"/>
          </w:tcPr>
          <w:p w14:paraId="75DECF57" w14:textId="711E1391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7.07%</w:t>
            </w:r>
          </w:p>
        </w:tc>
        <w:tc>
          <w:tcPr>
            <w:tcW w:w="0" w:type="auto"/>
          </w:tcPr>
          <w:p w14:paraId="7FC53742" w14:textId="31594DFE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3.52%</w:t>
            </w:r>
          </w:p>
        </w:tc>
        <w:tc>
          <w:tcPr>
            <w:tcW w:w="0" w:type="auto"/>
          </w:tcPr>
          <w:p w14:paraId="4BE5EC84" w14:textId="019E16DB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4.96%</w:t>
            </w:r>
          </w:p>
        </w:tc>
        <w:tc>
          <w:tcPr>
            <w:tcW w:w="0" w:type="auto"/>
          </w:tcPr>
          <w:p w14:paraId="4EAF6270" w14:textId="3CCA667B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8.80%</w:t>
            </w:r>
          </w:p>
        </w:tc>
        <w:tc>
          <w:tcPr>
            <w:tcW w:w="0" w:type="auto"/>
          </w:tcPr>
          <w:p w14:paraId="39603E67" w14:textId="286A8DD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6.23%</w:t>
            </w:r>
          </w:p>
        </w:tc>
      </w:tr>
      <w:tr w:rsidR="00D5537F" w:rsidRPr="00EB2147" w14:paraId="024505CC" w14:textId="77777777" w:rsidTr="00A26FD2">
        <w:tc>
          <w:tcPr>
            <w:tcW w:w="0" w:type="auto"/>
          </w:tcPr>
          <w:p w14:paraId="7FAD1522" w14:textId="6096207F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Retirement - on option</w:t>
            </w:r>
          </w:p>
        </w:tc>
        <w:tc>
          <w:tcPr>
            <w:tcW w:w="0" w:type="auto"/>
          </w:tcPr>
          <w:p w14:paraId="2E10B74F" w14:textId="0366B864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52551236" w14:textId="4E59202A" w:rsidR="00D5537F" w:rsidRPr="00EB2147" w:rsidRDefault="00A26FD2" w:rsidP="00EB2147">
            <w:pPr>
              <w:spacing w:line="240" w:lineRule="auto"/>
            </w:pPr>
            <w:r w:rsidRPr="00EB2147">
              <w:t>0.11%</w:t>
            </w:r>
          </w:p>
        </w:tc>
        <w:tc>
          <w:tcPr>
            <w:tcW w:w="0" w:type="auto"/>
          </w:tcPr>
          <w:p w14:paraId="24A88A85" w14:textId="59092323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70D6CF2E" w14:textId="16BC8363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7BD700C2" w14:textId="4E5DE6A9" w:rsidR="00D5537F" w:rsidRPr="00EB2147" w:rsidRDefault="00A26FD2" w:rsidP="00EB2147">
            <w:pPr>
              <w:spacing w:line="240" w:lineRule="auto"/>
            </w:pPr>
            <w:r w:rsidRPr="00EB2147">
              <w:t>0.12%</w:t>
            </w:r>
          </w:p>
        </w:tc>
      </w:tr>
      <w:tr w:rsidR="00D5537F" w:rsidRPr="00EB2147" w14:paraId="0ECD3F58" w14:textId="77777777" w:rsidTr="00A26FD2">
        <w:tc>
          <w:tcPr>
            <w:tcW w:w="0" w:type="auto"/>
          </w:tcPr>
          <w:p w14:paraId="2CFC0534" w14:textId="40131E4F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Retirement - pension</w:t>
            </w:r>
          </w:p>
        </w:tc>
        <w:tc>
          <w:tcPr>
            <w:tcW w:w="0" w:type="auto"/>
          </w:tcPr>
          <w:p w14:paraId="5B60682B" w14:textId="7161DB25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58.92%</w:t>
            </w:r>
          </w:p>
        </w:tc>
        <w:tc>
          <w:tcPr>
            <w:tcW w:w="0" w:type="auto"/>
          </w:tcPr>
          <w:p w14:paraId="1C892705" w14:textId="5CBE2645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61.30%</w:t>
            </w:r>
          </w:p>
        </w:tc>
        <w:tc>
          <w:tcPr>
            <w:tcW w:w="0" w:type="auto"/>
          </w:tcPr>
          <w:p w14:paraId="54AAA5C9" w14:textId="62037D9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29.44%</w:t>
            </w:r>
          </w:p>
        </w:tc>
        <w:tc>
          <w:tcPr>
            <w:tcW w:w="0" w:type="auto"/>
          </w:tcPr>
          <w:p w14:paraId="31A6E7FD" w14:textId="1684291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15.61%</w:t>
            </w:r>
          </w:p>
        </w:tc>
        <w:tc>
          <w:tcPr>
            <w:tcW w:w="0" w:type="auto"/>
          </w:tcPr>
          <w:p w14:paraId="6B1E91D3" w14:textId="7E8442A4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17.25%</w:t>
            </w:r>
          </w:p>
        </w:tc>
      </w:tr>
      <w:tr w:rsidR="00D5537F" w:rsidRPr="00EB2147" w14:paraId="0509EBE6" w14:textId="77777777" w:rsidTr="00A26FD2">
        <w:tc>
          <w:tcPr>
            <w:tcW w:w="0" w:type="auto"/>
          </w:tcPr>
          <w:p w14:paraId="7303D7D3" w14:textId="682BE2CA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Transfer - other</w:t>
            </w:r>
          </w:p>
        </w:tc>
        <w:tc>
          <w:tcPr>
            <w:tcW w:w="0" w:type="auto"/>
          </w:tcPr>
          <w:p w14:paraId="757BB714" w14:textId="74B347A7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262B7D2B" w14:textId="39E72CED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6D6D9AAF" w14:textId="7AB98318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  <w:tc>
          <w:tcPr>
            <w:tcW w:w="0" w:type="auto"/>
          </w:tcPr>
          <w:p w14:paraId="20D41108" w14:textId="48B7790E" w:rsidR="00D5537F" w:rsidRPr="00EB2147" w:rsidRDefault="00A26FD2" w:rsidP="00EB2147">
            <w:pPr>
              <w:spacing w:line="240" w:lineRule="auto"/>
            </w:pPr>
            <w:r w:rsidRPr="00EB2147">
              <w:t>0.12%</w:t>
            </w:r>
          </w:p>
        </w:tc>
        <w:tc>
          <w:tcPr>
            <w:tcW w:w="0" w:type="auto"/>
          </w:tcPr>
          <w:p w14:paraId="029E114A" w14:textId="41ABE694" w:rsidR="00D5537F" w:rsidRPr="00EB2147" w:rsidRDefault="00A26FD2" w:rsidP="00EB2147">
            <w:pPr>
              <w:spacing w:line="240" w:lineRule="auto"/>
            </w:pPr>
            <w:r w:rsidRPr="00EB2147">
              <w:t>0</w:t>
            </w:r>
          </w:p>
        </w:tc>
      </w:tr>
      <w:tr w:rsidR="00D5537F" w:rsidRPr="00EB2147" w14:paraId="5A180FC2" w14:textId="77777777" w:rsidTr="00A26FD2">
        <w:tc>
          <w:tcPr>
            <w:tcW w:w="0" w:type="auto"/>
          </w:tcPr>
          <w:p w14:paraId="68AB89E1" w14:textId="32BE624E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Transfer to another force</w:t>
            </w:r>
          </w:p>
        </w:tc>
        <w:tc>
          <w:tcPr>
            <w:tcW w:w="0" w:type="auto"/>
          </w:tcPr>
          <w:p w14:paraId="17D57DD5" w14:textId="7A7B33D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2.69%</w:t>
            </w:r>
          </w:p>
        </w:tc>
        <w:tc>
          <w:tcPr>
            <w:tcW w:w="0" w:type="auto"/>
          </w:tcPr>
          <w:p w14:paraId="74491DA8" w14:textId="0D0C262A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2.24%</w:t>
            </w:r>
          </w:p>
        </w:tc>
        <w:tc>
          <w:tcPr>
            <w:tcW w:w="0" w:type="auto"/>
          </w:tcPr>
          <w:p w14:paraId="3403A899" w14:textId="4F4D9ACC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1.83%</w:t>
            </w:r>
          </w:p>
        </w:tc>
        <w:tc>
          <w:tcPr>
            <w:tcW w:w="0" w:type="auto"/>
          </w:tcPr>
          <w:p w14:paraId="0B67C516" w14:textId="58A12643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2.58%</w:t>
            </w:r>
          </w:p>
        </w:tc>
        <w:tc>
          <w:tcPr>
            <w:tcW w:w="0" w:type="auto"/>
          </w:tcPr>
          <w:p w14:paraId="270085C1" w14:textId="7CF12458" w:rsidR="00D5537F" w:rsidRPr="00EB2147" w:rsidRDefault="00A26FD2" w:rsidP="00EB2147">
            <w:pPr>
              <w:spacing w:line="240" w:lineRule="auto"/>
            </w:pPr>
            <w:r w:rsidRPr="00EB2147">
              <w:rPr>
                <w:lang w:eastAsia="en-GB"/>
              </w:rPr>
              <w:t>6.11%</w:t>
            </w:r>
          </w:p>
        </w:tc>
      </w:tr>
    </w:tbl>
    <w:p w14:paraId="5DFF650C" w14:textId="77777777" w:rsidR="00D5537F" w:rsidRPr="00D5537F" w:rsidRDefault="00D5537F" w:rsidP="00D553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9D46762" w14:textId="77777777" w:rsidR="00D5537F" w:rsidRPr="00D5537F" w:rsidRDefault="00D5537F" w:rsidP="00D5537F">
      <w:pPr>
        <w:pStyle w:val="Heading2"/>
      </w:pPr>
      <w:r w:rsidRPr="00D5537F">
        <w:rPr>
          <w:bCs/>
        </w:rPr>
        <w:t>Additional data</w:t>
      </w:r>
      <w:r w:rsidRPr="00D5537F">
        <w:br/>
        <w:t>Please also include, per financial year:</w:t>
      </w:r>
    </w:p>
    <w:p w14:paraId="548EF544" w14:textId="77777777" w:rsidR="00D5537F" w:rsidRDefault="00D5537F" w:rsidP="00D5537F">
      <w:pPr>
        <w:pStyle w:val="Heading2"/>
      </w:pPr>
      <w:r w:rsidRPr="00D5537F">
        <w:t>The total number of officers who completed an exit survey or leaver form, and the overall number of officer resignations in that year.</w:t>
      </w:r>
    </w:p>
    <w:p w14:paraId="57D26E89" w14:textId="3842146C" w:rsidR="00A777B4" w:rsidRPr="00A777B4" w:rsidRDefault="00A777B4" w:rsidP="00A777B4">
      <w:r>
        <w:t xml:space="preserve">The </w:t>
      </w:r>
      <w:r w:rsidR="00EB2147">
        <w:t xml:space="preserve">table </w:t>
      </w:r>
      <w:r>
        <w:t xml:space="preserve">below </w:t>
      </w:r>
      <w:r w:rsidR="00EB2147">
        <w:t>details</w:t>
      </w:r>
      <w:r>
        <w:t xml:space="preserve"> police officers who completed the </w:t>
      </w:r>
      <w:r w:rsidR="00EB2147">
        <w:t xml:space="preserve">optional </w:t>
      </w:r>
      <w:r>
        <w:t xml:space="preserve">exit survey, broken down by financial year.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2390"/>
        <w:gridCol w:w="1617"/>
      </w:tblGrid>
      <w:tr w:rsidR="00776498" w:rsidRPr="00EB2147" w14:paraId="1B8DC4DC" w14:textId="77777777" w:rsidTr="00EB2147">
        <w:tc>
          <w:tcPr>
            <w:tcW w:w="0" w:type="auto"/>
            <w:shd w:val="clear" w:color="auto" w:fill="D9D9D9" w:themeFill="background1" w:themeFillShade="D9"/>
          </w:tcPr>
          <w:p w14:paraId="07877AAA" w14:textId="0F38A135" w:rsidR="00776498" w:rsidRPr="00EB2147" w:rsidRDefault="00776498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Y</w:t>
            </w:r>
            <w:r w:rsidR="00A777B4" w:rsidRPr="00EB2147">
              <w:rPr>
                <w:b/>
                <w:bCs/>
              </w:rPr>
              <w:t>e</w:t>
            </w:r>
            <w:r w:rsidRPr="00EB2147">
              <w:rPr>
                <w:b/>
                <w:bCs/>
              </w:rPr>
              <w:t>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7984DA" w14:textId="713CE144" w:rsidR="00776498" w:rsidRPr="00EB2147" w:rsidRDefault="00A777B4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Number of Officers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EA88C6" w14:textId="05E5BA40" w:rsidR="00776498" w:rsidRPr="00EB2147" w:rsidRDefault="00A777B4" w:rsidP="00EB2147">
            <w:pPr>
              <w:spacing w:line="240" w:lineRule="auto"/>
              <w:rPr>
                <w:b/>
                <w:bCs/>
              </w:rPr>
            </w:pPr>
            <w:r w:rsidRPr="00EB2147">
              <w:rPr>
                <w:b/>
                <w:bCs/>
              </w:rPr>
              <w:t>% of leavers</w:t>
            </w:r>
          </w:p>
        </w:tc>
      </w:tr>
      <w:tr w:rsidR="00776498" w14:paraId="29F2580F" w14:textId="77777777" w:rsidTr="00A777B4">
        <w:tc>
          <w:tcPr>
            <w:tcW w:w="0" w:type="auto"/>
          </w:tcPr>
          <w:p w14:paraId="28C5F6DA" w14:textId="296C67F5" w:rsidR="00776498" w:rsidRDefault="00776498" w:rsidP="00EB2147">
            <w:pPr>
              <w:spacing w:line="240" w:lineRule="auto"/>
            </w:pPr>
            <w:r>
              <w:t>2020/21</w:t>
            </w:r>
          </w:p>
        </w:tc>
        <w:tc>
          <w:tcPr>
            <w:tcW w:w="0" w:type="auto"/>
          </w:tcPr>
          <w:p w14:paraId="4D9BD53F" w14:textId="15FE8361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229</w:t>
            </w:r>
          </w:p>
        </w:tc>
        <w:tc>
          <w:tcPr>
            <w:tcW w:w="0" w:type="auto"/>
          </w:tcPr>
          <w:p w14:paraId="6E50B9BC" w14:textId="1D927644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39%</w:t>
            </w:r>
          </w:p>
        </w:tc>
      </w:tr>
      <w:tr w:rsidR="00776498" w14:paraId="1492B7E9" w14:textId="77777777" w:rsidTr="00A777B4">
        <w:tc>
          <w:tcPr>
            <w:tcW w:w="0" w:type="auto"/>
          </w:tcPr>
          <w:p w14:paraId="51290D8B" w14:textId="32DF4EB6" w:rsidR="00776498" w:rsidRDefault="00776498" w:rsidP="00EB2147">
            <w:pPr>
              <w:spacing w:line="240" w:lineRule="auto"/>
            </w:pPr>
            <w:r>
              <w:t>2021/22</w:t>
            </w:r>
          </w:p>
        </w:tc>
        <w:tc>
          <w:tcPr>
            <w:tcW w:w="0" w:type="auto"/>
          </w:tcPr>
          <w:p w14:paraId="2EF95C06" w14:textId="5A54535D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340</w:t>
            </w:r>
          </w:p>
        </w:tc>
        <w:tc>
          <w:tcPr>
            <w:tcW w:w="0" w:type="auto"/>
          </w:tcPr>
          <w:p w14:paraId="2F4C1372" w14:textId="459F18D4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37%</w:t>
            </w:r>
          </w:p>
        </w:tc>
      </w:tr>
      <w:tr w:rsidR="00776498" w14:paraId="0494A853" w14:textId="77777777" w:rsidTr="00A777B4">
        <w:tc>
          <w:tcPr>
            <w:tcW w:w="0" w:type="auto"/>
          </w:tcPr>
          <w:p w14:paraId="5BA621A9" w14:textId="2B24BA6C" w:rsidR="00776498" w:rsidRDefault="00776498" w:rsidP="00EB2147">
            <w:pPr>
              <w:spacing w:line="240" w:lineRule="auto"/>
            </w:pPr>
            <w:r>
              <w:t>2022/23</w:t>
            </w:r>
          </w:p>
        </w:tc>
        <w:tc>
          <w:tcPr>
            <w:tcW w:w="0" w:type="auto"/>
          </w:tcPr>
          <w:p w14:paraId="0F663D32" w14:textId="337E2198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388</w:t>
            </w:r>
          </w:p>
        </w:tc>
        <w:tc>
          <w:tcPr>
            <w:tcW w:w="0" w:type="auto"/>
          </w:tcPr>
          <w:p w14:paraId="604650BF" w14:textId="4F02169C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30%</w:t>
            </w:r>
          </w:p>
        </w:tc>
      </w:tr>
      <w:tr w:rsidR="00776498" w14:paraId="13CBCF30" w14:textId="77777777" w:rsidTr="00A777B4">
        <w:tc>
          <w:tcPr>
            <w:tcW w:w="0" w:type="auto"/>
          </w:tcPr>
          <w:p w14:paraId="560A3212" w14:textId="69CA14B2" w:rsidR="00776498" w:rsidRDefault="00776498" w:rsidP="00EB2147">
            <w:pPr>
              <w:spacing w:line="240" w:lineRule="auto"/>
            </w:pPr>
            <w:r>
              <w:t>2023/24</w:t>
            </w:r>
          </w:p>
        </w:tc>
        <w:tc>
          <w:tcPr>
            <w:tcW w:w="0" w:type="auto"/>
          </w:tcPr>
          <w:p w14:paraId="602FC609" w14:textId="658F9EF0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279</w:t>
            </w:r>
          </w:p>
        </w:tc>
        <w:tc>
          <w:tcPr>
            <w:tcW w:w="0" w:type="auto"/>
          </w:tcPr>
          <w:p w14:paraId="23CD3DE2" w14:textId="616C6435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33%</w:t>
            </w:r>
          </w:p>
        </w:tc>
      </w:tr>
      <w:tr w:rsidR="00776498" w14:paraId="69217B4B" w14:textId="77777777" w:rsidTr="00A777B4">
        <w:tc>
          <w:tcPr>
            <w:tcW w:w="0" w:type="auto"/>
          </w:tcPr>
          <w:p w14:paraId="2715FC1D" w14:textId="3FD8066D" w:rsidR="00776498" w:rsidRDefault="00776498" w:rsidP="00EB2147">
            <w:pPr>
              <w:spacing w:line="240" w:lineRule="auto"/>
            </w:pPr>
            <w:r>
              <w:t>2024/25</w:t>
            </w:r>
          </w:p>
        </w:tc>
        <w:tc>
          <w:tcPr>
            <w:tcW w:w="0" w:type="auto"/>
          </w:tcPr>
          <w:p w14:paraId="11759F82" w14:textId="58DCA1D1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238</w:t>
            </w:r>
          </w:p>
        </w:tc>
        <w:tc>
          <w:tcPr>
            <w:tcW w:w="0" w:type="auto"/>
          </w:tcPr>
          <w:p w14:paraId="6874EFD4" w14:textId="54E49D28" w:rsidR="00776498" w:rsidRDefault="00A777B4" w:rsidP="00EB2147">
            <w:pPr>
              <w:spacing w:line="240" w:lineRule="auto"/>
            </w:pPr>
            <w:r w:rsidRPr="0031724D">
              <w:rPr>
                <w:lang w:eastAsia="en-GB"/>
              </w:rPr>
              <w:t>29%</w:t>
            </w:r>
          </w:p>
        </w:tc>
      </w:tr>
    </w:tbl>
    <w:p w14:paraId="55639F43" w14:textId="77777777" w:rsidR="00A777B4" w:rsidRDefault="00A777B4" w:rsidP="00776498"/>
    <w:p w14:paraId="13D11F1D" w14:textId="77777777" w:rsidR="00A777B4" w:rsidRDefault="00A777B4" w:rsidP="00776498"/>
    <w:p w14:paraId="2564F414" w14:textId="77777777" w:rsidR="00A777B4" w:rsidRDefault="00A777B4" w:rsidP="00776498"/>
    <w:p w14:paraId="0B64034E" w14:textId="77777777" w:rsidR="00D5537F" w:rsidRPr="00D5537F" w:rsidRDefault="00D5537F" w:rsidP="00D5537F">
      <w:pPr>
        <w:pStyle w:val="Heading2"/>
      </w:pPr>
      <w:r w:rsidRPr="00D5537F">
        <w:lastRenderedPageBreak/>
        <w:t>A description of the methodology or survey form used (including how categories are defined, grouped or coded).</w:t>
      </w:r>
    </w:p>
    <w:p w14:paraId="34BDABB8" w14:textId="1177146F" w:rsidR="00255F1E" w:rsidRPr="00B11A55" w:rsidRDefault="00441C23" w:rsidP="00441C23">
      <w:r>
        <w:t xml:space="preserve">Please the attached </w:t>
      </w:r>
      <w:r w:rsidRPr="00441C23">
        <w:t>exit survey</w:t>
      </w:r>
      <w:r>
        <w:t xml:space="preserve"> used by Police Scotland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15764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699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4BC41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DAD8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ED8C8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8F05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5A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55413"/>
    <w:multiLevelType w:val="hybridMultilevel"/>
    <w:tmpl w:val="0D1A1C10"/>
    <w:lvl w:ilvl="0" w:tplc="92B21D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433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5AFB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D7331"/>
    <w:rsid w:val="003E12CA"/>
    <w:rsid w:val="004010DC"/>
    <w:rsid w:val="00412F3E"/>
    <w:rsid w:val="004341F0"/>
    <w:rsid w:val="00441C23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C78D3"/>
    <w:rsid w:val="005F10F6"/>
    <w:rsid w:val="0060183F"/>
    <w:rsid w:val="00645CFA"/>
    <w:rsid w:val="00657A5E"/>
    <w:rsid w:val="006D5799"/>
    <w:rsid w:val="00743BB0"/>
    <w:rsid w:val="00750D83"/>
    <w:rsid w:val="00752ED6"/>
    <w:rsid w:val="00776498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04AE"/>
    <w:rsid w:val="00A061E3"/>
    <w:rsid w:val="00A25E93"/>
    <w:rsid w:val="00A26FD2"/>
    <w:rsid w:val="00A320FF"/>
    <w:rsid w:val="00A70AC0"/>
    <w:rsid w:val="00A725F0"/>
    <w:rsid w:val="00A76487"/>
    <w:rsid w:val="00A777B4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537F"/>
    <w:rsid w:val="00D7784F"/>
    <w:rsid w:val="00DA2748"/>
    <w:rsid w:val="00E55D79"/>
    <w:rsid w:val="00E75C65"/>
    <w:rsid w:val="00EB2147"/>
    <w:rsid w:val="00EE2373"/>
    <w:rsid w:val="00EF4761"/>
    <w:rsid w:val="00EF6523"/>
    <w:rsid w:val="00F00FFD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17</cp:revision>
  <dcterms:created xsi:type="dcterms:W3CDTF">2024-06-24T12:04:00Z</dcterms:created>
  <dcterms:modified xsi:type="dcterms:W3CDTF">2025-08-28T11:22:00Z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