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E5121B" w:rsidR="00B17211" w:rsidRPr="00B17211" w:rsidRDefault="00B17211" w:rsidP="007F490F">
            <w:r w:rsidRPr="007F490F">
              <w:rPr>
                <w:rStyle w:val="Heading2Char"/>
              </w:rPr>
              <w:t>Our reference:</w:t>
            </w:r>
            <w:r>
              <w:t xml:space="preserve">  FOI 2</w:t>
            </w:r>
            <w:r w:rsidR="00EF0FBB">
              <w:t>5</w:t>
            </w:r>
            <w:r>
              <w:t>-</w:t>
            </w:r>
            <w:r w:rsidR="00D53001">
              <w:t>1639</w:t>
            </w:r>
          </w:p>
          <w:p w14:paraId="34BDABA6" w14:textId="4E4E9FF0" w:rsidR="00B17211" w:rsidRDefault="00456324" w:rsidP="00EE2373">
            <w:r w:rsidRPr="007F490F">
              <w:rPr>
                <w:rStyle w:val="Heading2Char"/>
              </w:rPr>
              <w:t>Respon</w:t>
            </w:r>
            <w:r w:rsidR="007D55F6">
              <w:rPr>
                <w:rStyle w:val="Heading2Char"/>
              </w:rPr>
              <w:t>ded to:</w:t>
            </w:r>
            <w:r w:rsidR="007F490F">
              <w:t xml:space="preserve">  </w:t>
            </w:r>
            <w:r w:rsidR="00EF4B30">
              <w:t>25</w:t>
            </w:r>
            <w:r w:rsidR="00D53001">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381D01" w14:textId="49796A16" w:rsidR="003B469D" w:rsidRDefault="003B469D" w:rsidP="00E62F44">
      <w:pPr>
        <w:pStyle w:val="Heading2"/>
        <w:rPr>
          <w:rFonts w:eastAsia="Times New Roman"/>
        </w:rPr>
      </w:pPr>
      <w:r>
        <w:rPr>
          <w:rFonts w:eastAsia="Times New Roman"/>
        </w:rPr>
        <w:t>I am looking for information regarding Police Scotland uniform standards.</w:t>
      </w:r>
    </w:p>
    <w:p w14:paraId="20ECF39D" w14:textId="51E7A25C" w:rsidR="003B469D" w:rsidRDefault="003B469D" w:rsidP="00E62F44">
      <w:pPr>
        <w:pStyle w:val="Heading2"/>
        <w:rPr>
          <w:rFonts w:eastAsia="Times New Roman"/>
        </w:rPr>
      </w:pPr>
      <w:r>
        <w:rPr>
          <w:rFonts w:eastAsia="Times New Roman"/>
        </w:rPr>
        <w:t>Specifically, I would like to inquire about the designation given to each uniform type; particularly at public demonstrations, officers are seen in multiple different coloured hats. Could you please explain what each of these mean (e.g. orange is sergeant, red is public order), as well as informing me of any markings required to be carried by British Transport Police or ARUs. </w:t>
      </w:r>
    </w:p>
    <w:p w14:paraId="4AF4B983" w14:textId="7A1D0DFF" w:rsidR="00AF1F2A" w:rsidRPr="000808D5" w:rsidRDefault="00AF1F2A" w:rsidP="00AF1F2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Firstly, with regards to providing information for British Transport Police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7F5F4FD" w14:textId="08BC4008" w:rsidR="00AF1F2A" w:rsidRDefault="00AF1F2A" w:rsidP="00AF1F2A">
      <w:pPr>
        <w:rPr>
          <w:lang w:eastAsia="en-GB"/>
        </w:rPr>
      </w:pPr>
      <w:r>
        <w:rPr>
          <w:lang w:eastAsia="en-GB"/>
        </w:rPr>
        <w:t xml:space="preserve">To explain, British Transport Police is a separate organisation to Police Scotland. </w:t>
      </w:r>
    </w:p>
    <w:p w14:paraId="158598D9" w14:textId="63FDAE93" w:rsidR="00AF1F2A" w:rsidRDefault="00FF2A20" w:rsidP="00AF1F2A">
      <w:r>
        <w:t xml:space="preserve">Within Police Scotland Police Officers hats are not different colours depending on designation given at public demonstrations/events. </w:t>
      </w:r>
    </w:p>
    <w:p w14:paraId="4346E620" w14:textId="48387EB1" w:rsidR="00FF2A20" w:rsidRDefault="00FF2A20" w:rsidP="00AF1F2A">
      <w:r>
        <w:t xml:space="preserve">However, I have provided a table below which shows colours of Police Officers epaulette for Police Deployment. </w:t>
      </w:r>
    </w:p>
    <w:p w14:paraId="449ABB42" w14:textId="77777777" w:rsidR="00FF2A20" w:rsidRDefault="00FF2A20" w:rsidP="00AF1F2A"/>
    <w:tbl>
      <w:tblPr>
        <w:tblStyle w:val="TableGrid"/>
        <w:tblW w:w="9493" w:type="dxa"/>
        <w:tblLook w:val="04A0" w:firstRow="1" w:lastRow="0" w:firstColumn="1" w:lastColumn="0" w:noHBand="0" w:noVBand="1"/>
      </w:tblPr>
      <w:tblGrid>
        <w:gridCol w:w="4745"/>
        <w:gridCol w:w="4748"/>
      </w:tblGrid>
      <w:tr w:rsidR="00FF2A20" w:rsidRPr="00557306" w14:paraId="3DC4D11E" w14:textId="77777777" w:rsidTr="00ED132A">
        <w:trPr>
          <w:tblHeader/>
        </w:trPr>
        <w:tc>
          <w:tcPr>
            <w:tcW w:w="4745" w:type="dxa"/>
            <w:shd w:val="clear" w:color="auto" w:fill="D9D9D9" w:themeFill="background1" w:themeFillShade="D9"/>
          </w:tcPr>
          <w:p w14:paraId="058B8030" w14:textId="721F25BA" w:rsidR="00FF2A20" w:rsidRPr="00557306" w:rsidRDefault="00FF2A20" w:rsidP="00EE15B0">
            <w:pPr>
              <w:spacing w:line="240" w:lineRule="auto"/>
              <w:rPr>
                <w:b/>
              </w:rPr>
            </w:pPr>
            <w:r>
              <w:rPr>
                <w:b/>
              </w:rPr>
              <w:t>Role</w:t>
            </w:r>
          </w:p>
        </w:tc>
        <w:tc>
          <w:tcPr>
            <w:tcW w:w="4748" w:type="dxa"/>
            <w:shd w:val="clear" w:color="auto" w:fill="D9D9D9" w:themeFill="background1" w:themeFillShade="D9"/>
          </w:tcPr>
          <w:p w14:paraId="53C16822" w14:textId="4FAF9086" w:rsidR="00FF2A20" w:rsidRPr="00557306" w:rsidRDefault="00FF2A20" w:rsidP="00EE15B0">
            <w:pPr>
              <w:spacing w:line="240" w:lineRule="auto"/>
              <w:rPr>
                <w:b/>
              </w:rPr>
            </w:pPr>
            <w:r>
              <w:rPr>
                <w:b/>
              </w:rPr>
              <w:t>Epaulette colour</w:t>
            </w:r>
          </w:p>
        </w:tc>
      </w:tr>
      <w:tr w:rsidR="00FF2A20" w14:paraId="7016049A" w14:textId="77777777" w:rsidTr="00ED132A">
        <w:tc>
          <w:tcPr>
            <w:tcW w:w="4745" w:type="dxa"/>
          </w:tcPr>
          <w:p w14:paraId="429753E6" w14:textId="49583BFF" w:rsidR="00FF2A20" w:rsidRDefault="00FF2A20" w:rsidP="00EE15B0">
            <w:pPr>
              <w:tabs>
                <w:tab w:val="left" w:pos="5400"/>
              </w:tabs>
              <w:spacing w:line="240" w:lineRule="auto"/>
            </w:pPr>
            <w:r>
              <w:t xml:space="preserve">Operational (Bronze) Commander </w:t>
            </w:r>
          </w:p>
        </w:tc>
        <w:tc>
          <w:tcPr>
            <w:tcW w:w="4748" w:type="dxa"/>
          </w:tcPr>
          <w:p w14:paraId="427A7CE4" w14:textId="0FEE787F" w:rsidR="00FF2A20" w:rsidRDefault="00FF2A20" w:rsidP="00EE15B0">
            <w:pPr>
              <w:tabs>
                <w:tab w:val="left" w:pos="5400"/>
              </w:tabs>
              <w:spacing w:line="240" w:lineRule="auto"/>
            </w:pPr>
            <w:r>
              <w:t xml:space="preserve">Yellow </w:t>
            </w:r>
          </w:p>
        </w:tc>
      </w:tr>
      <w:tr w:rsidR="00FF2A20" w14:paraId="16F1F5B6" w14:textId="77777777" w:rsidTr="00ED132A">
        <w:tc>
          <w:tcPr>
            <w:tcW w:w="4745" w:type="dxa"/>
          </w:tcPr>
          <w:p w14:paraId="17F351AD" w14:textId="00002128" w:rsidR="00FF2A20" w:rsidRDefault="00AB343F" w:rsidP="00EE15B0">
            <w:pPr>
              <w:tabs>
                <w:tab w:val="left" w:pos="5400"/>
              </w:tabs>
              <w:spacing w:line="240" w:lineRule="auto"/>
            </w:pPr>
            <w:r>
              <w:t>PSU Commander (Inspector)</w:t>
            </w:r>
          </w:p>
        </w:tc>
        <w:tc>
          <w:tcPr>
            <w:tcW w:w="4748" w:type="dxa"/>
          </w:tcPr>
          <w:p w14:paraId="6C9122D3" w14:textId="6FFBF01E" w:rsidR="00FF2A20" w:rsidRDefault="00AB343F" w:rsidP="00EE15B0">
            <w:pPr>
              <w:tabs>
                <w:tab w:val="left" w:pos="5400"/>
              </w:tabs>
              <w:spacing w:line="240" w:lineRule="auto"/>
            </w:pPr>
            <w:r>
              <w:t>Red</w:t>
            </w:r>
          </w:p>
        </w:tc>
      </w:tr>
      <w:tr w:rsidR="00AB343F" w14:paraId="48CF7C20" w14:textId="77777777" w:rsidTr="00ED132A">
        <w:tc>
          <w:tcPr>
            <w:tcW w:w="4745" w:type="dxa"/>
          </w:tcPr>
          <w:p w14:paraId="105D670E" w14:textId="327179FA" w:rsidR="00AB343F" w:rsidRDefault="00AB343F" w:rsidP="00EE15B0">
            <w:pPr>
              <w:tabs>
                <w:tab w:val="left" w:pos="5400"/>
              </w:tabs>
              <w:spacing w:line="240" w:lineRule="auto"/>
            </w:pPr>
            <w:r>
              <w:t>PSU Sergeants</w:t>
            </w:r>
          </w:p>
        </w:tc>
        <w:tc>
          <w:tcPr>
            <w:tcW w:w="4748" w:type="dxa"/>
          </w:tcPr>
          <w:p w14:paraId="6A47352A" w14:textId="39556882" w:rsidR="00AB343F" w:rsidRDefault="00AB343F" w:rsidP="00EE15B0">
            <w:pPr>
              <w:tabs>
                <w:tab w:val="left" w:pos="5400"/>
              </w:tabs>
              <w:spacing w:line="240" w:lineRule="auto"/>
            </w:pPr>
            <w:r>
              <w:t>White</w:t>
            </w:r>
          </w:p>
        </w:tc>
      </w:tr>
      <w:tr w:rsidR="00AB343F" w14:paraId="3F4A0CDB" w14:textId="77777777" w:rsidTr="00ED132A">
        <w:tc>
          <w:tcPr>
            <w:tcW w:w="4745" w:type="dxa"/>
          </w:tcPr>
          <w:p w14:paraId="7976882E" w14:textId="1D971E3B" w:rsidR="00AB343F" w:rsidRDefault="00AB343F" w:rsidP="00EE15B0">
            <w:pPr>
              <w:tabs>
                <w:tab w:val="left" w:pos="5400"/>
              </w:tabs>
              <w:spacing w:line="240" w:lineRule="auto"/>
            </w:pPr>
            <w:r>
              <w:t xml:space="preserve">Evidence Gathers </w:t>
            </w:r>
          </w:p>
        </w:tc>
        <w:tc>
          <w:tcPr>
            <w:tcW w:w="4748" w:type="dxa"/>
          </w:tcPr>
          <w:p w14:paraId="53535754" w14:textId="1FB70658" w:rsidR="00AB343F" w:rsidRDefault="00AB343F" w:rsidP="00EE15B0">
            <w:pPr>
              <w:tabs>
                <w:tab w:val="left" w:pos="5400"/>
              </w:tabs>
              <w:spacing w:line="240" w:lineRule="auto"/>
            </w:pPr>
            <w:r>
              <w:t>Orange</w:t>
            </w:r>
          </w:p>
        </w:tc>
      </w:tr>
      <w:tr w:rsidR="00AB343F" w14:paraId="3E0E3DE7" w14:textId="77777777" w:rsidTr="00ED132A">
        <w:tc>
          <w:tcPr>
            <w:tcW w:w="4745" w:type="dxa"/>
          </w:tcPr>
          <w:p w14:paraId="2D90A016" w14:textId="5EE7A1C9" w:rsidR="00AB343F" w:rsidRDefault="00AB343F" w:rsidP="00EE15B0">
            <w:pPr>
              <w:tabs>
                <w:tab w:val="left" w:pos="5400"/>
              </w:tabs>
              <w:spacing w:line="240" w:lineRule="auto"/>
            </w:pPr>
            <w:r>
              <w:t>Police Medic</w:t>
            </w:r>
          </w:p>
        </w:tc>
        <w:tc>
          <w:tcPr>
            <w:tcW w:w="4748" w:type="dxa"/>
          </w:tcPr>
          <w:p w14:paraId="205A2A1C" w14:textId="07DED27C" w:rsidR="00AB343F" w:rsidRDefault="00AB343F" w:rsidP="00EE15B0">
            <w:pPr>
              <w:tabs>
                <w:tab w:val="left" w:pos="5400"/>
              </w:tabs>
              <w:spacing w:line="240" w:lineRule="auto"/>
            </w:pPr>
            <w:r>
              <w:t>Green</w:t>
            </w:r>
          </w:p>
        </w:tc>
      </w:tr>
      <w:tr w:rsidR="00AB343F" w14:paraId="15E803D5" w14:textId="77777777" w:rsidTr="00ED132A">
        <w:tc>
          <w:tcPr>
            <w:tcW w:w="4745" w:type="dxa"/>
          </w:tcPr>
          <w:p w14:paraId="015D30A0" w14:textId="3512629D" w:rsidR="00AB343F" w:rsidRDefault="00AB343F" w:rsidP="00EE15B0">
            <w:pPr>
              <w:tabs>
                <w:tab w:val="left" w:pos="5400"/>
              </w:tabs>
              <w:spacing w:line="240" w:lineRule="auto"/>
            </w:pPr>
            <w:r>
              <w:t>Tactical Advisor</w:t>
            </w:r>
          </w:p>
        </w:tc>
        <w:tc>
          <w:tcPr>
            <w:tcW w:w="4748" w:type="dxa"/>
          </w:tcPr>
          <w:p w14:paraId="6F1F114F" w14:textId="3C46810A" w:rsidR="00AB343F" w:rsidRDefault="00AB343F" w:rsidP="00EE15B0">
            <w:pPr>
              <w:tabs>
                <w:tab w:val="left" w:pos="5400"/>
              </w:tabs>
              <w:spacing w:line="240" w:lineRule="auto"/>
            </w:pPr>
            <w:r>
              <w:t>Royal Blue</w:t>
            </w:r>
          </w:p>
        </w:tc>
      </w:tr>
      <w:tr w:rsidR="00AB343F" w14:paraId="06C17574" w14:textId="77777777" w:rsidTr="00ED132A">
        <w:tc>
          <w:tcPr>
            <w:tcW w:w="4745" w:type="dxa"/>
          </w:tcPr>
          <w:p w14:paraId="6032387C" w14:textId="30E1F930" w:rsidR="00AB343F" w:rsidRDefault="00AB343F" w:rsidP="00EE15B0">
            <w:pPr>
              <w:tabs>
                <w:tab w:val="left" w:pos="5400"/>
              </w:tabs>
              <w:spacing w:line="240" w:lineRule="auto"/>
            </w:pPr>
            <w:r>
              <w:t>Police Liaison Team</w:t>
            </w:r>
          </w:p>
        </w:tc>
        <w:tc>
          <w:tcPr>
            <w:tcW w:w="4748" w:type="dxa"/>
          </w:tcPr>
          <w:p w14:paraId="01ADE1F0" w14:textId="795B9F8E" w:rsidR="00AB343F" w:rsidRDefault="00AB343F" w:rsidP="00EE15B0">
            <w:pPr>
              <w:tabs>
                <w:tab w:val="left" w:pos="5400"/>
              </w:tabs>
              <w:spacing w:line="240" w:lineRule="auto"/>
            </w:pPr>
            <w:r>
              <w:t xml:space="preserve">Light Blue </w:t>
            </w:r>
          </w:p>
        </w:tc>
      </w:tr>
    </w:tbl>
    <w:p w14:paraId="6C06C41F" w14:textId="77777777" w:rsidR="00ED132A" w:rsidRDefault="00ED132A" w:rsidP="00ED132A">
      <w:pPr>
        <w:pStyle w:val="Heading2"/>
        <w:rPr>
          <w:rFonts w:eastAsia="Times New Roman"/>
        </w:rPr>
      </w:pPr>
      <w:r>
        <w:rPr>
          <w:rFonts w:eastAsia="Times New Roman"/>
        </w:rPr>
        <w:lastRenderedPageBreak/>
        <w:t>Please also state what policy, if any, applies to plainclothes officers for identification (for example, color of the day as used by many American police forces).</w:t>
      </w:r>
    </w:p>
    <w:p w14:paraId="5199ABE5" w14:textId="77777777" w:rsidR="006F2572" w:rsidRPr="00A50951" w:rsidRDefault="006F2572" w:rsidP="006F257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678CC17C" w:rsidR="00255F1E" w:rsidRPr="00B11A55" w:rsidRDefault="006F2572" w:rsidP="006F2572">
      <w:pPr>
        <w:tabs>
          <w:tab w:val="left" w:pos="5400"/>
        </w:tabs>
      </w:pPr>
      <w:r>
        <w:t xml:space="preserve">To explain, this does not apply to Police Scotland.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8F534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AC6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B296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7744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7BB65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C186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4B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346"/>
    <w:rsid w:val="00090F3B"/>
    <w:rsid w:val="000E2F19"/>
    <w:rsid w:val="000E6526"/>
    <w:rsid w:val="00141533"/>
    <w:rsid w:val="00151DD0"/>
    <w:rsid w:val="00167528"/>
    <w:rsid w:val="00195CC4"/>
    <w:rsid w:val="00205EC0"/>
    <w:rsid w:val="00207326"/>
    <w:rsid w:val="00253DF6"/>
    <w:rsid w:val="00255F1E"/>
    <w:rsid w:val="00297ED0"/>
    <w:rsid w:val="002F5274"/>
    <w:rsid w:val="00353F6E"/>
    <w:rsid w:val="0036503B"/>
    <w:rsid w:val="00376A4A"/>
    <w:rsid w:val="003B469D"/>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6F2572"/>
    <w:rsid w:val="007073F5"/>
    <w:rsid w:val="00721045"/>
    <w:rsid w:val="007440EA"/>
    <w:rsid w:val="00750D83"/>
    <w:rsid w:val="00785DBC"/>
    <w:rsid w:val="00793DD5"/>
    <w:rsid w:val="007D55F6"/>
    <w:rsid w:val="007F490F"/>
    <w:rsid w:val="00847A9F"/>
    <w:rsid w:val="0086779C"/>
    <w:rsid w:val="00874BFD"/>
    <w:rsid w:val="008964EF"/>
    <w:rsid w:val="00915E01"/>
    <w:rsid w:val="009631A4"/>
    <w:rsid w:val="00977296"/>
    <w:rsid w:val="00A25E93"/>
    <w:rsid w:val="00A31810"/>
    <w:rsid w:val="00A320FF"/>
    <w:rsid w:val="00A70AC0"/>
    <w:rsid w:val="00A84EA9"/>
    <w:rsid w:val="00AB343F"/>
    <w:rsid w:val="00AC443C"/>
    <w:rsid w:val="00AF1F2A"/>
    <w:rsid w:val="00B033D6"/>
    <w:rsid w:val="00B11A55"/>
    <w:rsid w:val="00B17211"/>
    <w:rsid w:val="00B461B2"/>
    <w:rsid w:val="00B654B6"/>
    <w:rsid w:val="00B71B3C"/>
    <w:rsid w:val="00BC389E"/>
    <w:rsid w:val="00BC7AA2"/>
    <w:rsid w:val="00BE1888"/>
    <w:rsid w:val="00BF6B81"/>
    <w:rsid w:val="00C077A8"/>
    <w:rsid w:val="00C14D80"/>
    <w:rsid w:val="00C14FF4"/>
    <w:rsid w:val="00C1679F"/>
    <w:rsid w:val="00C606A2"/>
    <w:rsid w:val="00C63872"/>
    <w:rsid w:val="00C84948"/>
    <w:rsid w:val="00C94ED8"/>
    <w:rsid w:val="00CF1111"/>
    <w:rsid w:val="00D05706"/>
    <w:rsid w:val="00D2526E"/>
    <w:rsid w:val="00D27DC5"/>
    <w:rsid w:val="00D47E36"/>
    <w:rsid w:val="00D53001"/>
    <w:rsid w:val="00D954AF"/>
    <w:rsid w:val="00E105E4"/>
    <w:rsid w:val="00E25AB4"/>
    <w:rsid w:val="00E55D79"/>
    <w:rsid w:val="00E62F44"/>
    <w:rsid w:val="00ED132A"/>
    <w:rsid w:val="00ED7466"/>
    <w:rsid w:val="00EE2373"/>
    <w:rsid w:val="00EF0FBB"/>
    <w:rsid w:val="00EF4761"/>
    <w:rsid w:val="00EF4B30"/>
    <w:rsid w:val="00FC2DA7"/>
    <w:rsid w:val="00FE44E2"/>
    <w:rsid w:val="00FF04A1"/>
    <w:rsid w:val="00FF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748">
      <w:bodyDiv w:val="1"/>
      <w:marLeft w:val="0"/>
      <w:marRight w:val="0"/>
      <w:marTop w:val="0"/>
      <w:marBottom w:val="0"/>
      <w:divBdr>
        <w:top w:val="none" w:sz="0" w:space="0" w:color="auto"/>
        <w:left w:val="none" w:sz="0" w:space="0" w:color="auto"/>
        <w:bottom w:val="none" w:sz="0" w:space="0" w:color="auto"/>
        <w:right w:val="none" w:sz="0" w:space="0" w:color="auto"/>
      </w:divBdr>
    </w:div>
    <w:div w:id="833567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e32d40b-a8f5-4c24-a46b-b72b5f0b9b5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423</Words>
  <Characters>2414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2025-06-25T14:44:00Z</cp:lastPrinted>
  <dcterms:created xsi:type="dcterms:W3CDTF">2025-06-18T09:22:00Z</dcterms:created>
  <dcterms:modified xsi:type="dcterms:W3CDTF">2025-06-25T14:44:00Z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