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E3BB5A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640C60">
              <w:t>0172</w:t>
            </w:r>
          </w:p>
          <w:p w14:paraId="34BDABA6" w14:textId="6E638A8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40C60">
              <w:t>1</w:t>
            </w:r>
            <w:r w:rsidR="006778B2">
              <w:t>2</w:t>
            </w:r>
            <w:r w:rsidR="006D5799">
              <w:t xml:space="preserve"> </w:t>
            </w:r>
            <w:r w:rsidR="00636B5D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ABFCEF9" w14:textId="77777777" w:rsidR="00640C60" w:rsidRPr="00007C05" w:rsidRDefault="00640C60" w:rsidP="00640C60">
      <w:r>
        <w:t xml:space="preserve">I would ask that you note that your </w:t>
      </w:r>
      <w:r w:rsidRPr="00007C05">
        <w:t>original correspondence has been split into several individual requests due to wide scope and variety of subject matter therein. The remainder of your request will be answered separately.</w:t>
      </w:r>
    </w:p>
    <w:p w14:paraId="3F23E1EE" w14:textId="77777777" w:rsidR="00640C60" w:rsidRPr="00640C60" w:rsidRDefault="00640C60" w:rsidP="00640C60">
      <w:pPr>
        <w:pStyle w:val="Heading2"/>
      </w:pPr>
      <w:r w:rsidRPr="00640C60">
        <w:t xml:space="preserve">Staffing Levels and Overtime Costs </w:t>
      </w:r>
    </w:p>
    <w:p w14:paraId="1F7EEE4D" w14:textId="77777777" w:rsidR="00640C60" w:rsidRPr="00640C60" w:rsidRDefault="00640C60" w:rsidP="00640C60">
      <w:pPr>
        <w:pStyle w:val="Heading2"/>
        <w:rPr>
          <w:i/>
          <w:iCs/>
        </w:rPr>
      </w:pPr>
      <w:r w:rsidRPr="00640C60">
        <w:rPr>
          <w:i/>
          <w:iCs/>
        </w:rPr>
        <w:t xml:space="preserve">The total authorised number of officers and staff for each of the last five years. </w:t>
      </w:r>
    </w:p>
    <w:p w14:paraId="03ABC204" w14:textId="77777777" w:rsidR="00640C60" w:rsidRDefault="00640C60" w:rsidP="00640C60">
      <w:pPr>
        <w:pStyle w:val="Heading2"/>
        <w:rPr>
          <w:i/>
          <w:iCs/>
        </w:rPr>
      </w:pPr>
      <w:r w:rsidRPr="00640C60">
        <w:rPr>
          <w:i/>
          <w:iCs/>
        </w:rPr>
        <w:t xml:space="preserve">The actual number of officers and staff for the same period (if different from authorised levels). </w:t>
      </w:r>
    </w:p>
    <w:p w14:paraId="3BA4066F" w14:textId="77777777" w:rsidR="00CC7E24" w:rsidRDefault="00CC7E24" w:rsidP="00CC7E24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1E979B68" w14:textId="77777777" w:rsidR="00CC7E24" w:rsidRDefault="00CC7E24" w:rsidP="00CC7E24">
      <w:r>
        <w:t>“Information which the applicant can reasonably obtain other than by requesting it […] is exempt information.”</w:t>
      </w:r>
    </w:p>
    <w:p w14:paraId="39319868" w14:textId="77777777" w:rsidR="00CC7E24" w:rsidRDefault="00CC7E24" w:rsidP="00CC7E24">
      <w:pPr>
        <w:rPr>
          <w:shd w:val="clear" w:color="auto" w:fill="FFFFFF"/>
        </w:rPr>
      </w:pPr>
      <w:r>
        <w:rPr>
          <w:shd w:val="clear" w:color="auto" w:fill="FFFFFF"/>
        </w:rPr>
        <w:t>Data is available on the Police Scotland website:</w:t>
      </w:r>
    </w:p>
    <w:p w14:paraId="7D3497F7" w14:textId="6469EC35" w:rsidR="00927BFE" w:rsidRPr="00D74387" w:rsidRDefault="00CC7E24" w:rsidP="00927BFE">
      <w:pPr>
        <w:rPr>
          <w:rStyle w:val="Hyperlink"/>
          <w:color w:val="0070C0"/>
        </w:rPr>
      </w:pPr>
      <w:hyperlink r:id="rId11" w:history="1">
        <w:r w:rsidRPr="00CC7E24">
          <w:rPr>
            <w:rStyle w:val="Hyperlink"/>
          </w:rPr>
          <w:t>Police Scotland Officer Numbers - Police Scotland</w:t>
        </w:r>
      </w:hyperlink>
    </w:p>
    <w:p w14:paraId="7A28358F" w14:textId="3BB0BB9B" w:rsidR="005F588A" w:rsidRDefault="005F588A" w:rsidP="005F588A">
      <w:r w:rsidRPr="005F588A">
        <w:rPr>
          <w:rStyle w:val="Hyperlink"/>
          <w:color w:val="auto"/>
          <w:u w:val="none"/>
        </w:rPr>
        <w:t xml:space="preserve">In </w:t>
      </w:r>
      <w:r w:rsidR="00B40022" w:rsidRPr="005F588A">
        <w:rPr>
          <w:rStyle w:val="Hyperlink"/>
          <w:color w:val="auto"/>
          <w:u w:val="none"/>
        </w:rPr>
        <w:t>addition,</w:t>
      </w:r>
      <w:r w:rsidRPr="005F588A">
        <w:rPr>
          <w:rStyle w:val="Hyperlink"/>
          <w:color w:val="auto"/>
          <w:u w:val="none"/>
        </w:rPr>
        <w:t xml:space="preserve"> the Scottish Government publish </w:t>
      </w:r>
      <w:r w:rsidRPr="005F588A">
        <w:t>statistics on police officer quarterly strength, which gives the number of full-time-equivalent police officers employed by Police Scotland</w:t>
      </w:r>
      <w:r w:rsidR="00B40022" w:rsidRPr="005F588A">
        <w:t>.</w:t>
      </w:r>
      <w:r w:rsidR="00B40022">
        <w:t xml:space="preserve"> </w:t>
      </w:r>
      <w:r>
        <w:t>This data is available on the Scottish Government website:</w:t>
      </w:r>
    </w:p>
    <w:p w14:paraId="03EE31C5" w14:textId="6CDEAC28" w:rsidR="005F588A" w:rsidRDefault="005F588A" w:rsidP="00927BFE">
      <w:pPr>
        <w:rPr>
          <w:color w:val="0000FF"/>
          <w:u w:val="single"/>
        </w:rPr>
      </w:pPr>
      <w:r w:rsidRPr="00B40022">
        <w:rPr>
          <w:color w:val="0000FF"/>
          <w:u w:val="single"/>
        </w:rPr>
        <w:t>Police officer quarterly strength statistics Scotland</w:t>
      </w:r>
    </w:p>
    <w:p w14:paraId="7A0ADDCD" w14:textId="11B9101C" w:rsidR="00640C60" w:rsidRDefault="00640C60" w:rsidP="00640C60">
      <w:pPr>
        <w:pStyle w:val="Heading2"/>
        <w:rPr>
          <w:i/>
          <w:iCs/>
        </w:rPr>
      </w:pPr>
      <w:r w:rsidRPr="00640C60">
        <w:rPr>
          <w:i/>
          <w:iCs/>
        </w:rPr>
        <w:t xml:space="preserve">Overtime expenditure per year, and any relevant explanations for significant increases. </w:t>
      </w:r>
    </w:p>
    <w:p w14:paraId="30C83ED5" w14:textId="78A87EF2" w:rsidR="00F01171" w:rsidRDefault="00F01171" w:rsidP="00F01171">
      <w:r>
        <w:t>Overtime</w:t>
      </w:r>
      <w:r w:rsidRPr="00EC4E03">
        <w:t xml:space="preserve"> costs for police officers and staff for the past five financial years are detailed in the table below:</w:t>
      </w:r>
    </w:p>
    <w:p w14:paraId="30F183B7" w14:textId="77777777" w:rsidR="00B40022" w:rsidRPr="00F01171" w:rsidRDefault="00B40022" w:rsidP="00F01171"/>
    <w:tbl>
      <w:tblPr>
        <w:tblW w:w="477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1685"/>
      </w:tblGrid>
      <w:tr w:rsidR="00F01171" w:rsidRPr="00F12D62" w14:paraId="615BA3E5" w14:textId="77777777" w:rsidTr="00F12D62">
        <w:trPr>
          <w:trHeight w:val="255"/>
        </w:trPr>
        <w:tc>
          <w:tcPr>
            <w:tcW w:w="3340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14C07A" w14:textId="77777777" w:rsidR="00F01171" w:rsidRPr="00F12D62" w:rsidRDefault="00F01171" w:rsidP="00F12D62">
            <w:pPr>
              <w:spacing w:line="240" w:lineRule="auto"/>
              <w:rPr>
                <w:b/>
                <w:bCs/>
              </w:rPr>
            </w:pPr>
            <w:r w:rsidRPr="00F12D62">
              <w:rPr>
                <w:b/>
                <w:bCs/>
              </w:rPr>
              <w:lastRenderedPageBreak/>
              <w:t>Accounting Year</w:t>
            </w:r>
          </w:p>
        </w:tc>
        <w:tc>
          <w:tcPr>
            <w:tcW w:w="1436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8FC17" w14:textId="77777777" w:rsidR="00F01171" w:rsidRPr="00F12D62" w:rsidRDefault="00F01171" w:rsidP="00F12D62">
            <w:pPr>
              <w:spacing w:line="240" w:lineRule="auto"/>
              <w:rPr>
                <w:b/>
                <w:bCs/>
              </w:rPr>
            </w:pPr>
            <w:r w:rsidRPr="00F12D62">
              <w:rPr>
                <w:b/>
                <w:bCs/>
              </w:rPr>
              <w:t>Total</w:t>
            </w:r>
          </w:p>
        </w:tc>
      </w:tr>
      <w:tr w:rsidR="00F01171" w:rsidRPr="00F01171" w14:paraId="0902D70D" w14:textId="77777777" w:rsidTr="00F12D62">
        <w:trPr>
          <w:trHeight w:val="255"/>
        </w:trPr>
        <w:tc>
          <w:tcPr>
            <w:tcW w:w="3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B621C" w14:textId="77777777" w:rsidR="00F01171" w:rsidRPr="00F01171" w:rsidRDefault="00F01171" w:rsidP="00F12D62">
            <w:pPr>
              <w:spacing w:line="240" w:lineRule="auto"/>
            </w:pPr>
            <w:r w:rsidRPr="00F01171">
              <w:t>2020</w:t>
            </w:r>
          </w:p>
        </w:tc>
        <w:tc>
          <w:tcPr>
            <w:tcW w:w="14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DF7E73" w14:textId="77777777" w:rsidR="00F01171" w:rsidRPr="00F01171" w:rsidRDefault="00F01171" w:rsidP="00F12D62">
            <w:pPr>
              <w:spacing w:line="240" w:lineRule="auto"/>
            </w:pPr>
            <w:r w:rsidRPr="00F01171">
              <w:t>£19,428,586</w:t>
            </w:r>
          </w:p>
        </w:tc>
      </w:tr>
      <w:tr w:rsidR="00F01171" w:rsidRPr="00F01171" w14:paraId="60D9D951" w14:textId="77777777" w:rsidTr="00F12D62">
        <w:trPr>
          <w:trHeight w:val="255"/>
        </w:trPr>
        <w:tc>
          <w:tcPr>
            <w:tcW w:w="3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00B5F5" w14:textId="77777777" w:rsidR="00F01171" w:rsidRPr="00F01171" w:rsidRDefault="00F01171" w:rsidP="00F12D62">
            <w:pPr>
              <w:spacing w:line="240" w:lineRule="auto"/>
            </w:pPr>
            <w:r w:rsidRPr="00F01171">
              <w:t>2021</w:t>
            </w:r>
          </w:p>
        </w:tc>
        <w:tc>
          <w:tcPr>
            <w:tcW w:w="14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16699" w14:textId="77777777" w:rsidR="00F01171" w:rsidRPr="00F01171" w:rsidRDefault="00F01171" w:rsidP="00F12D62">
            <w:pPr>
              <w:spacing w:line="240" w:lineRule="auto"/>
            </w:pPr>
            <w:r w:rsidRPr="00F01171">
              <w:t>£16,892,358</w:t>
            </w:r>
          </w:p>
        </w:tc>
      </w:tr>
      <w:tr w:rsidR="00F01171" w:rsidRPr="00F01171" w14:paraId="0CAF1142" w14:textId="77777777" w:rsidTr="00F12D62">
        <w:trPr>
          <w:trHeight w:val="255"/>
        </w:trPr>
        <w:tc>
          <w:tcPr>
            <w:tcW w:w="3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2DB2F" w14:textId="77777777" w:rsidR="00F01171" w:rsidRPr="00F01171" w:rsidRDefault="00F01171" w:rsidP="00F12D62">
            <w:pPr>
              <w:spacing w:line="240" w:lineRule="auto"/>
            </w:pPr>
            <w:r w:rsidRPr="00F01171">
              <w:t>2022</w:t>
            </w:r>
          </w:p>
        </w:tc>
        <w:tc>
          <w:tcPr>
            <w:tcW w:w="14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F5CFC" w14:textId="77777777" w:rsidR="00F01171" w:rsidRPr="00F01171" w:rsidRDefault="00F01171" w:rsidP="00F12D62">
            <w:pPr>
              <w:spacing w:line="240" w:lineRule="auto"/>
            </w:pPr>
            <w:r w:rsidRPr="00F01171">
              <w:t>£40,617,919</w:t>
            </w:r>
          </w:p>
        </w:tc>
      </w:tr>
      <w:tr w:rsidR="00F01171" w:rsidRPr="00F01171" w14:paraId="0FD3A7D4" w14:textId="77777777" w:rsidTr="00F12D62">
        <w:trPr>
          <w:trHeight w:val="255"/>
        </w:trPr>
        <w:tc>
          <w:tcPr>
            <w:tcW w:w="3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35BF0F" w14:textId="77777777" w:rsidR="00F01171" w:rsidRPr="00F01171" w:rsidRDefault="00F01171" w:rsidP="00F12D62">
            <w:pPr>
              <w:spacing w:line="240" w:lineRule="auto"/>
            </w:pPr>
            <w:r w:rsidRPr="00F01171">
              <w:t>2023</w:t>
            </w:r>
          </w:p>
        </w:tc>
        <w:tc>
          <w:tcPr>
            <w:tcW w:w="14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EF7120" w14:textId="77777777" w:rsidR="00F01171" w:rsidRPr="00F01171" w:rsidRDefault="00F01171" w:rsidP="00F12D62">
            <w:pPr>
              <w:spacing w:line="240" w:lineRule="auto"/>
            </w:pPr>
            <w:r w:rsidRPr="00F01171">
              <w:t>£47,125,211</w:t>
            </w:r>
          </w:p>
        </w:tc>
      </w:tr>
      <w:tr w:rsidR="00F01171" w:rsidRPr="00F01171" w14:paraId="607D3321" w14:textId="77777777" w:rsidTr="00F12D62">
        <w:trPr>
          <w:trHeight w:val="255"/>
        </w:trPr>
        <w:tc>
          <w:tcPr>
            <w:tcW w:w="3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DA2344" w14:textId="77777777" w:rsidR="00F01171" w:rsidRPr="00F01171" w:rsidRDefault="00F01171" w:rsidP="00F12D62">
            <w:pPr>
              <w:spacing w:line="240" w:lineRule="auto"/>
            </w:pPr>
            <w:r w:rsidRPr="00F01171">
              <w:t>2024</w:t>
            </w:r>
          </w:p>
        </w:tc>
        <w:tc>
          <w:tcPr>
            <w:tcW w:w="14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87CAD5" w14:textId="77777777" w:rsidR="00F01171" w:rsidRPr="00F01171" w:rsidRDefault="00F01171" w:rsidP="00F12D62">
            <w:pPr>
              <w:spacing w:line="240" w:lineRule="auto"/>
            </w:pPr>
            <w:r w:rsidRPr="00F01171">
              <w:t>£28,711,099</w:t>
            </w:r>
          </w:p>
        </w:tc>
      </w:tr>
      <w:tr w:rsidR="00F01171" w:rsidRPr="00F01171" w14:paraId="7ED08FEE" w14:textId="77777777" w:rsidTr="00F12D62">
        <w:trPr>
          <w:trHeight w:val="255"/>
        </w:trPr>
        <w:tc>
          <w:tcPr>
            <w:tcW w:w="3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F6C74" w14:textId="77777777" w:rsidR="00F01171" w:rsidRPr="00F01171" w:rsidRDefault="00F01171" w:rsidP="00F12D62">
            <w:pPr>
              <w:spacing w:line="240" w:lineRule="auto"/>
              <w:rPr>
                <w:b/>
                <w:bCs/>
              </w:rPr>
            </w:pPr>
            <w:r w:rsidRPr="00F01171">
              <w:rPr>
                <w:b/>
                <w:bCs/>
              </w:rPr>
              <w:t>Grand Total</w:t>
            </w:r>
          </w:p>
        </w:tc>
        <w:tc>
          <w:tcPr>
            <w:tcW w:w="14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907475" w14:textId="77777777" w:rsidR="00F01171" w:rsidRPr="00F01171" w:rsidRDefault="00F01171" w:rsidP="00F12D62">
            <w:pPr>
              <w:spacing w:line="240" w:lineRule="auto"/>
              <w:rPr>
                <w:b/>
                <w:bCs/>
              </w:rPr>
            </w:pPr>
            <w:r w:rsidRPr="00F01171">
              <w:rPr>
                <w:b/>
                <w:bCs/>
              </w:rPr>
              <w:t>£152,775,174</w:t>
            </w:r>
          </w:p>
        </w:tc>
      </w:tr>
    </w:tbl>
    <w:p w14:paraId="222E9F17" w14:textId="77777777" w:rsidR="00F01171" w:rsidRPr="00F01171" w:rsidRDefault="00F01171" w:rsidP="00F01171"/>
    <w:tbl>
      <w:tblPr>
        <w:tblW w:w="13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0"/>
        <w:gridCol w:w="1800"/>
        <w:gridCol w:w="1800"/>
      </w:tblGrid>
      <w:tr w:rsidR="00F01171" w:rsidRPr="00F01171" w14:paraId="48A0C8A5" w14:textId="77777777" w:rsidTr="00F01171">
        <w:trPr>
          <w:trHeight w:val="255"/>
        </w:trPr>
        <w:tc>
          <w:tcPr>
            <w:tcW w:w="10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99F21F" w14:textId="4D21C7C8" w:rsidR="00F01171" w:rsidRPr="00F01171" w:rsidRDefault="00F01171" w:rsidP="00F01171">
            <w:r w:rsidRPr="00F01171">
              <w:rPr>
                <w:b/>
                <w:bCs/>
              </w:rPr>
              <w:t>Note 1</w:t>
            </w:r>
            <w:r w:rsidRPr="00F01171">
              <w:t xml:space="preserve"> - Year represents the financial year up to 31 March </w:t>
            </w:r>
            <w:r>
              <w:t>each year</w:t>
            </w:r>
          </w:p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EA7504" w14:textId="77777777" w:rsidR="00F01171" w:rsidRPr="00F01171" w:rsidRDefault="00F01171" w:rsidP="00F01171"/>
        </w:tc>
        <w:tc>
          <w:tcPr>
            <w:tcW w:w="18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97E7B4" w14:textId="77777777" w:rsidR="00F01171" w:rsidRPr="00F01171" w:rsidRDefault="00F01171" w:rsidP="00F01171"/>
        </w:tc>
      </w:tr>
      <w:tr w:rsidR="00F01171" w:rsidRPr="00F01171" w14:paraId="7DC1B6BD" w14:textId="77777777" w:rsidTr="00F01171">
        <w:trPr>
          <w:trHeight w:val="750"/>
        </w:trPr>
        <w:tc>
          <w:tcPr>
            <w:tcW w:w="136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BCD32" w14:textId="77777777" w:rsidR="00F01171" w:rsidRDefault="00F01171" w:rsidP="00F01171">
            <w:r w:rsidRPr="00F01171">
              <w:rPr>
                <w:b/>
                <w:bCs/>
              </w:rPr>
              <w:t>Note 2</w:t>
            </w:r>
            <w:r w:rsidRPr="00F01171">
              <w:t xml:space="preserve"> - Embedded within the above overtime figures include several items that distort the </w:t>
            </w:r>
          </w:p>
          <w:p w14:paraId="4D18A5EC" w14:textId="77777777" w:rsidR="00F01171" w:rsidRDefault="00F01171" w:rsidP="00F01171">
            <w:r w:rsidRPr="00F01171">
              <w:t xml:space="preserve">normal “business as usual” overtime spend, such as one-off funded items like COP26 (2022), </w:t>
            </w:r>
          </w:p>
          <w:p w14:paraId="5B3E3D47" w14:textId="104BF592" w:rsidR="00F01171" w:rsidRPr="00F01171" w:rsidRDefault="00F01171" w:rsidP="00F01171">
            <w:r w:rsidRPr="00F01171">
              <w:t>the bereavement of Her Majesty the Queen (2023) and impact of COVID.</w:t>
            </w:r>
          </w:p>
        </w:tc>
      </w:tr>
    </w:tbl>
    <w:p w14:paraId="0B8C6AB9" w14:textId="77777777" w:rsidR="00F01171" w:rsidRPr="00F01171" w:rsidRDefault="00F01171" w:rsidP="00F01171"/>
    <w:p w14:paraId="34BDABBE" w14:textId="320EAA83" w:rsidR="00496A08" w:rsidRPr="00F01171" w:rsidRDefault="00496A08" w:rsidP="00F01171">
      <w:pPr>
        <w:tabs>
          <w:tab w:val="left" w:pos="5400"/>
        </w:tabs>
        <w:rPr>
          <w:i/>
          <w:iCs/>
        </w:rPr>
      </w:pPr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DAF21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2D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0316BD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2D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6DFF90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2D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5587F1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2D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9BF9CA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2D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774FD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2D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A6D80D"/>
    <w:multiLevelType w:val="hybridMultilevel"/>
    <w:tmpl w:val="FFFFFFF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8664542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E40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65CE4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F588A"/>
    <w:rsid w:val="00636B5D"/>
    <w:rsid w:val="00640C60"/>
    <w:rsid w:val="00645CFA"/>
    <w:rsid w:val="00676275"/>
    <w:rsid w:val="006778B2"/>
    <w:rsid w:val="00685219"/>
    <w:rsid w:val="006D5799"/>
    <w:rsid w:val="007440EA"/>
    <w:rsid w:val="00750D83"/>
    <w:rsid w:val="00785DBC"/>
    <w:rsid w:val="00793DD5"/>
    <w:rsid w:val="007D55F6"/>
    <w:rsid w:val="007F490F"/>
    <w:rsid w:val="00816F77"/>
    <w:rsid w:val="0086779C"/>
    <w:rsid w:val="00874BFD"/>
    <w:rsid w:val="008964EF"/>
    <w:rsid w:val="0089744F"/>
    <w:rsid w:val="00915E01"/>
    <w:rsid w:val="00927BFE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0022"/>
    <w:rsid w:val="00B461B2"/>
    <w:rsid w:val="00B56683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C7E24"/>
    <w:rsid w:val="00CE78CB"/>
    <w:rsid w:val="00CF1111"/>
    <w:rsid w:val="00D05706"/>
    <w:rsid w:val="00D27DC5"/>
    <w:rsid w:val="00D47E36"/>
    <w:rsid w:val="00D55C12"/>
    <w:rsid w:val="00D74387"/>
    <w:rsid w:val="00E55D79"/>
    <w:rsid w:val="00EE2373"/>
    <w:rsid w:val="00EF0FBB"/>
    <w:rsid w:val="00EF4761"/>
    <w:rsid w:val="00F01171"/>
    <w:rsid w:val="00F12D6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C7E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58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8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police-scotland-officer-number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483</Words>
  <Characters>2755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2025-02-12T16:28:00Z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