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DA508B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CB7F37">
              <w:t>2420</w:t>
            </w:r>
          </w:p>
          <w:p w14:paraId="34BDABA6" w14:textId="38586FE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B7F37">
              <w:t>18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9FE5DF" w14:textId="77777777" w:rsidR="00CB7F37" w:rsidRPr="00CB7F37" w:rsidRDefault="00CB7F37" w:rsidP="00CB7F37">
      <w:pPr>
        <w:pStyle w:val="Heading2"/>
      </w:pPr>
      <w:r w:rsidRPr="00CB7F37">
        <w:t>Under the Freedom of Information Act, I request the following information.</w:t>
      </w:r>
    </w:p>
    <w:p w14:paraId="53426B96" w14:textId="77777777" w:rsidR="00CB7F37" w:rsidRPr="00CB7F37" w:rsidRDefault="00CB7F37" w:rsidP="00CB7F37">
      <w:pPr>
        <w:pStyle w:val="Heading2"/>
      </w:pPr>
      <w:r w:rsidRPr="00CB7F37">
        <w:t>1) Has Police Scotland ever been a member of APCDLO?</w:t>
      </w:r>
    </w:p>
    <w:p w14:paraId="36262F96" w14:textId="77777777" w:rsidR="00CB7F37" w:rsidRPr="00CB7F37" w:rsidRDefault="00CB7F37" w:rsidP="00CB7F37">
      <w:pPr>
        <w:pStyle w:val="Heading2"/>
      </w:pPr>
      <w:r w:rsidRPr="00CB7F37">
        <w:t>2) Was any of the regional police force in Scotland member of APCDLO?</w:t>
      </w:r>
    </w:p>
    <w:p w14:paraId="71FC5C04" w14:textId="77777777" w:rsidR="00CB7F37" w:rsidRPr="00CB7F37" w:rsidRDefault="00CB7F37" w:rsidP="00CB7F37">
      <w:pPr>
        <w:pStyle w:val="Heading2"/>
      </w:pPr>
      <w:r w:rsidRPr="00CB7F37">
        <w:t>3) Did either Police Scotland or its predecessor ever have a CDLO.</w:t>
      </w:r>
    </w:p>
    <w:p w14:paraId="5042A3BA" w14:textId="4ADE8C99" w:rsidR="00CB7F37" w:rsidRDefault="00CB7F37" w:rsidP="00CB7F3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I can confirm that Police Scotland have no </w:t>
      </w:r>
      <w:r w:rsidRPr="00CB7F37">
        <w:t>knowledge of this organisation</w:t>
      </w:r>
      <w:r>
        <w:t xml:space="preserve"> or CDLOs, as such, </w:t>
      </w:r>
      <w:r>
        <w:rPr>
          <w:rFonts w:eastAsiaTheme="majorEastAsia" w:cstheme="majorBidi"/>
          <w:bCs/>
          <w:color w:val="000000" w:themeColor="text1"/>
          <w:szCs w:val="26"/>
        </w:rPr>
        <w:t>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FCDB5F1" w14:textId="1FF79BC9" w:rsidR="00CB7F37" w:rsidRDefault="00CB7F37" w:rsidP="00CB7F3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Regarding legacy Police forces</w:t>
      </w:r>
      <w:r w:rsidR="0097169B">
        <w:t xml:space="preserve">, we are unable to confirm or deny as </w:t>
      </w:r>
      <w:r>
        <w:t xml:space="preserve">due to record retention polices this information will no longer be held. Therefore, as above </w:t>
      </w:r>
      <w:r>
        <w:rPr>
          <w:rFonts w:eastAsiaTheme="majorEastAsia" w:cstheme="majorBidi"/>
          <w:bCs/>
          <w:color w:val="000000" w:themeColor="text1"/>
          <w:szCs w:val="26"/>
        </w:rPr>
        <w:t>section 17 of the Act applies.</w:t>
      </w:r>
    </w:p>
    <w:p w14:paraId="34BDABBD" w14:textId="51C9B518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44E77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06F8B0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F624A6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1D5DD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60F869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87C5D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9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93842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169B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B7F3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