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617B4">
              <w:t>0957</w:t>
            </w:r>
          </w:p>
          <w:p w:rsidR="00B17211" w:rsidRDefault="00456324" w:rsidP="006617B4">
            <w:r w:rsidRPr="007F490F">
              <w:rPr>
                <w:rStyle w:val="Heading2Char"/>
              </w:rPr>
              <w:t>Respon</w:t>
            </w:r>
            <w:r w:rsidR="007D55F6">
              <w:rPr>
                <w:rStyle w:val="Heading2Char"/>
              </w:rPr>
              <w:t>ded to:</w:t>
            </w:r>
            <w:r w:rsidR="007F490F">
              <w:t xml:space="preserve">  </w:t>
            </w:r>
            <w:r w:rsidR="006617B4">
              <w:t>09</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56AE6" w:rsidRDefault="00C56AE6" w:rsidP="00C56AE6">
      <w:pPr>
        <w:pStyle w:val="Heading2"/>
      </w:pPr>
      <w:r>
        <w:t>In order to understand any increase in incidents it would be useful to know the number of hate crimes, hate incidents and knife crimes, involving transgender people within the following six time periods Dec 12, 2022 till Jan 11, 2023</w:t>
      </w:r>
    </w:p>
    <w:p w:rsidR="00C56AE6" w:rsidRDefault="00C56AE6" w:rsidP="00C56AE6">
      <w:pPr>
        <w:pStyle w:val="Heading2"/>
      </w:pPr>
      <w:r>
        <w:t>Jan 12, 2023 till Feb 11, 2023</w:t>
      </w:r>
    </w:p>
    <w:p w:rsidR="00C56AE6" w:rsidRDefault="00C56AE6" w:rsidP="00C56AE6">
      <w:pPr>
        <w:pStyle w:val="Heading2"/>
      </w:pPr>
      <w:r>
        <w:t>Feb 12, 2023 till March 11, 2023</w:t>
      </w:r>
    </w:p>
    <w:p w:rsidR="00C56AE6" w:rsidRDefault="00C56AE6" w:rsidP="00C56AE6">
      <w:pPr>
        <w:pStyle w:val="Heading2"/>
      </w:pPr>
      <w:r>
        <w:t>March 12, 2023 till April 11, 2023 (or Date) Dec 12, 2021 till Jan 11, 2022 Jan 12, 2022 till Feb 11, 2022</w:t>
      </w:r>
    </w:p>
    <w:p w:rsidR="00F10DAB" w:rsidRPr="00A76BDA" w:rsidRDefault="00F10DAB" w:rsidP="00F10DAB">
      <w:pPr>
        <w:autoSpaceDE w:val="0"/>
        <w:autoSpaceDN w:val="0"/>
        <w:adjustRightInd w:val="0"/>
      </w:pPr>
      <w:r w:rsidRPr="00A76BDA">
        <w:t xml:space="preserve">To provide some general context, Police Scotland defines a </w:t>
      </w:r>
      <w:r w:rsidRPr="00A76BDA">
        <w:rPr>
          <w:b/>
          <w:bCs/>
        </w:rPr>
        <w:t xml:space="preserve">hate incident </w:t>
      </w:r>
      <w:r w:rsidRPr="00A76BDA">
        <w:t>as ‘</w:t>
      </w:r>
      <w:r w:rsidRPr="00A76BDA">
        <w:rPr>
          <w:i/>
          <w:iCs/>
        </w:rPr>
        <w:t>any incident which is perceived by the victim or any other person to be motivated (wholly or partly) by malice and ill-will towards a social group but which does not constitute a criminal offence</w:t>
      </w:r>
      <w:r w:rsidRPr="00A76BDA">
        <w:t>.’</w:t>
      </w:r>
    </w:p>
    <w:p w:rsidR="00F10DAB" w:rsidRPr="00A76BDA" w:rsidRDefault="00F10DAB" w:rsidP="00F10DAB">
      <w:pPr>
        <w:autoSpaceDE w:val="0"/>
        <w:autoSpaceDN w:val="0"/>
        <w:adjustRightInd w:val="0"/>
      </w:pPr>
      <w:r w:rsidRPr="00A76BDA">
        <w:t xml:space="preserve">Police Scotland defines a </w:t>
      </w:r>
      <w:r w:rsidRPr="00A76BDA">
        <w:rPr>
          <w:b/>
          <w:bCs/>
        </w:rPr>
        <w:t xml:space="preserve">hate crime </w:t>
      </w:r>
      <w:r w:rsidRPr="00A76BDA">
        <w:t>as, ‘</w:t>
      </w:r>
      <w:r w:rsidRPr="00A76BDA">
        <w:rPr>
          <w:i/>
          <w:iCs/>
        </w:rPr>
        <w:t>any crime which is perceived by the victim or any other person, to be motivated (wholly or partly) by malice and ill-will towards a social group.</w:t>
      </w:r>
      <w:r w:rsidRPr="00A76BDA">
        <w:t>’</w:t>
      </w:r>
    </w:p>
    <w:p w:rsidR="00F10DAB" w:rsidRPr="00FA0C8B" w:rsidRDefault="00F10DAB" w:rsidP="00F10DAB">
      <w:pPr>
        <w:autoSpaceDE w:val="0"/>
        <w:autoSpaceDN w:val="0"/>
        <w:adjustRightInd w:val="0"/>
      </w:pPr>
      <w:r w:rsidRPr="00A76BDA">
        <w:t>Social groups are identified in accordance with the Lord Advocates guidelines on Aggravations of Offences against Prejudice i.e. race, sexual orientation, religion/faith, disability or transgender i</w:t>
      </w:r>
      <w:r>
        <w:t>dentity.</w:t>
      </w:r>
    </w:p>
    <w:p w:rsidR="00F10DAB" w:rsidRPr="00B11A55" w:rsidRDefault="00F10DAB" w:rsidP="00F10DAB">
      <w:pPr>
        <w:tabs>
          <w:tab w:val="left" w:pos="5400"/>
        </w:tabs>
      </w:pPr>
      <w:r>
        <w:t xml:space="preserve">In response to your request. Please see the tables below. </w:t>
      </w:r>
      <w:r w:rsidR="00FE74DA">
        <w:t xml:space="preserve">Please note the data caveats at the bottom of the tables. </w:t>
      </w:r>
    </w:p>
    <w:p w:rsidR="00F10DAB" w:rsidRDefault="00F10DAB" w:rsidP="00F10DAB">
      <w:r>
        <w:t xml:space="preserve">It is worthy of note that the figures provided relate to crimes and incidents recorded as being aggravated by transgender prejudice. Victims of hate crimes/incidents do not have to be a member of any of the protected groups in order to be a victim. For example, an individual who is the victim of a transphobic incident does not have to be transgender, or disclose their transgender identity, for this to be perceived, recorded and investigated as a hate related incident. </w:t>
      </w:r>
    </w:p>
    <w:p w:rsidR="00472140" w:rsidRDefault="00472140" w:rsidP="00F10DAB">
      <w:pPr>
        <w:sectPr w:rsidR="00472140" w:rsidSect="007F49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3" w:footer="284" w:gutter="0"/>
          <w:cols w:space="708"/>
          <w:docGrid w:linePitch="360"/>
        </w:sectPr>
      </w:pPr>
    </w:p>
    <w:p w:rsidR="00F10DAB" w:rsidRDefault="00472140" w:rsidP="00F10DAB">
      <w:r>
        <w:lastRenderedPageBreak/>
        <w:t xml:space="preserve">Recorded iVPD Hate Crimes with a Transgender Hate Aggravator. </w:t>
      </w:r>
    </w:p>
    <w:p w:rsidR="00472140" w:rsidRDefault="00472140" w:rsidP="00F10DAB">
      <w:r>
        <w:t>The time period for the table is the selected periods between 12 December 2021 and 11 April 2023.</w:t>
      </w:r>
    </w:p>
    <w:tbl>
      <w:tblPr>
        <w:tblStyle w:val="TableGrid"/>
        <w:tblW w:w="14673" w:type="dxa"/>
        <w:tblLook w:val="04A0" w:firstRow="1" w:lastRow="0" w:firstColumn="1" w:lastColumn="0" w:noHBand="0" w:noVBand="1"/>
        <w:tblCaption w:val="Recorded iVPD Hate Crimes with a Transgender Hate Aggravator. "/>
        <w:tblDescription w:val="Recorded iVPD Hate Crimes with a Transgender Hate Aggravator. &#10;The time period for the table is the selected periods between 12 December 2021 and 11 April 2023.&#10;"/>
      </w:tblPr>
      <w:tblGrid>
        <w:gridCol w:w="1838"/>
        <w:gridCol w:w="1985"/>
        <w:gridCol w:w="2126"/>
        <w:gridCol w:w="2346"/>
        <w:gridCol w:w="2126"/>
        <w:gridCol w:w="2126"/>
        <w:gridCol w:w="2126"/>
      </w:tblGrid>
      <w:tr w:rsidR="00472140" w:rsidRPr="00472140" w:rsidTr="00455189">
        <w:trPr>
          <w:trHeight w:val="572"/>
          <w:tblHeader/>
        </w:trPr>
        <w:tc>
          <w:tcPr>
            <w:tcW w:w="1838" w:type="dxa"/>
            <w:shd w:val="clear" w:color="auto" w:fill="D9D9D9" w:themeFill="background1" w:themeFillShade="D9"/>
            <w:noWrap/>
            <w:hideMark/>
          </w:tcPr>
          <w:p w:rsidR="00472140" w:rsidRPr="00472140" w:rsidRDefault="00472140">
            <w:pPr>
              <w:rPr>
                <w:b/>
                <w:bCs/>
              </w:rPr>
            </w:pPr>
            <w:r w:rsidRPr="00472140">
              <w:rPr>
                <w:b/>
                <w:bCs/>
              </w:rPr>
              <w:t> </w:t>
            </w:r>
            <w:r>
              <w:rPr>
                <w:b/>
                <w:bCs/>
              </w:rPr>
              <w:t>Date period</w:t>
            </w:r>
          </w:p>
        </w:tc>
        <w:tc>
          <w:tcPr>
            <w:tcW w:w="1985" w:type="dxa"/>
            <w:shd w:val="clear" w:color="auto" w:fill="D9D9D9" w:themeFill="background1" w:themeFillShade="D9"/>
            <w:hideMark/>
          </w:tcPr>
          <w:p w:rsidR="00472140" w:rsidRPr="00472140" w:rsidRDefault="00472140" w:rsidP="00472140">
            <w:pPr>
              <w:rPr>
                <w:b/>
                <w:bCs/>
              </w:rPr>
            </w:pPr>
            <w:r w:rsidRPr="00472140">
              <w:rPr>
                <w:b/>
                <w:bCs/>
              </w:rPr>
              <w:t>Dec</w:t>
            </w:r>
            <w:r>
              <w:rPr>
                <w:b/>
                <w:bCs/>
              </w:rPr>
              <w:t>ember</w:t>
            </w:r>
            <w:r w:rsidRPr="00472140">
              <w:rPr>
                <w:b/>
                <w:bCs/>
              </w:rPr>
              <w:t xml:space="preserve"> 12th 2021 to Jan</w:t>
            </w:r>
            <w:r>
              <w:rPr>
                <w:b/>
                <w:bCs/>
              </w:rPr>
              <w:t>uary</w:t>
            </w:r>
            <w:r w:rsidRPr="00472140">
              <w:rPr>
                <w:b/>
                <w:bCs/>
              </w:rPr>
              <w:t xml:space="preserve"> 11th 2022</w:t>
            </w:r>
          </w:p>
        </w:tc>
        <w:tc>
          <w:tcPr>
            <w:tcW w:w="2126" w:type="dxa"/>
            <w:shd w:val="clear" w:color="auto" w:fill="D9D9D9" w:themeFill="background1" w:themeFillShade="D9"/>
            <w:hideMark/>
          </w:tcPr>
          <w:p w:rsidR="00472140" w:rsidRPr="00472140" w:rsidRDefault="00472140" w:rsidP="00472140">
            <w:pPr>
              <w:rPr>
                <w:b/>
                <w:bCs/>
              </w:rPr>
            </w:pPr>
            <w:r w:rsidRPr="00472140">
              <w:rPr>
                <w:b/>
                <w:bCs/>
              </w:rPr>
              <w:t>Jan</w:t>
            </w:r>
            <w:r>
              <w:rPr>
                <w:b/>
                <w:bCs/>
              </w:rPr>
              <w:t>uary</w:t>
            </w:r>
            <w:r w:rsidRPr="00472140">
              <w:rPr>
                <w:b/>
                <w:bCs/>
              </w:rPr>
              <w:t xml:space="preserve"> 12th 2022 to Feb</w:t>
            </w:r>
            <w:r>
              <w:rPr>
                <w:b/>
                <w:bCs/>
              </w:rPr>
              <w:t>ruary</w:t>
            </w:r>
            <w:r w:rsidRPr="00472140">
              <w:rPr>
                <w:b/>
                <w:bCs/>
              </w:rPr>
              <w:t xml:space="preserve"> 11th 2022</w:t>
            </w:r>
          </w:p>
        </w:tc>
        <w:tc>
          <w:tcPr>
            <w:tcW w:w="2346" w:type="dxa"/>
            <w:shd w:val="clear" w:color="auto" w:fill="D9D9D9" w:themeFill="background1" w:themeFillShade="D9"/>
            <w:hideMark/>
          </w:tcPr>
          <w:p w:rsidR="00472140" w:rsidRPr="00472140" w:rsidRDefault="00472140" w:rsidP="00472140">
            <w:pPr>
              <w:rPr>
                <w:b/>
                <w:bCs/>
              </w:rPr>
            </w:pPr>
            <w:r w:rsidRPr="00472140">
              <w:rPr>
                <w:b/>
                <w:bCs/>
              </w:rPr>
              <w:t>Dec</w:t>
            </w:r>
            <w:r>
              <w:rPr>
                <w:b/>
                <w:bCs/>
              </w:rPr>
              <w:t xml:space="preserve">ember 12th 2022 to January </w:t>
            </w:r>
            <w:r w:rsidRPr="00472140">
              <w:rPr>
                <w:b/>
                <w:bCs/>
              </w:rPr>
              <w:t>11th 2023</w:t>
            </w:r>
          </w:p>
        </w:tc>
        <w:tc>
          <w:tcPr>
            <w:tcW w:w="2126" w:type="dxa"/>
            <w:shd w:val="clear" w:color="auto" w:fill="D9D9D9" w:themeFill="background1" w:themeFillShade="D9"/>
            <w:hideMark/>
          </w:tcPr>
          <w:p w:rsidR="00472140" w:rsidRPr="00472140" w:rsidRDefault="00472140" w:rsidP="00472140">
            <w:pPr>
              <w:rPr>
                <w:b/>
                <w:bCs/>
              </w:rPr>
            </w:pPr>
            <w:r w:rsidRPr="00472140">
              <w:rPr>
                <w:b/>
                <w:bCs/>
              </w:rPr>
              <w:t>Jan</w:t>
            </w:r>
            <w:r>
              <w:rPr>
                <w:b/>
                <w:bCs/>
              </w:rPr>
              <w:t>uary</w:t>
            </w:r>
            <w:r w:rsidRPr="00472140">
              <w:rPr>
                <w:b/>
                <w:bCs/>
              </w:rPr>
              <w:t xml:space="preserve"> 12th 2023 to Feb</w:t>
            </w:r>
            <w:r>
              <w:rPr>
                <w:b/>
                <w:bCs/>
              </w:rPr>
              <w:t>ruary</w:t>
            </w:r>
            <w:r w:rsidRPr="00472140">
              <w:rPr>
                <w:b/>
                <w:bCs/>
              </w:rPr>
              <w:t xml:space="preserve"> 11th 2023</w:t>
            </w:r>
          </w:p>
        </w:tc>
        <w:tc>
          <w:tcPr>
            <w:tcW w:w="2126" w:type="dxa"/>
            <w:shd w:val="clear" w:color="auto" w:fill="D9D9D9" w:themeFill="background1" w:themeFillShade="D9"/>
            <w:hideMark/>
          </w:tcPr>
          <w:p w:rsidR="00472140" w:rsidRPr="00472140" w:rsidRDefault="00472140" w:rsidP="00472140">
            <w:pPr>
              <w:rPr>
                <w:b/>
                <w:bCs/>
              </w:rPr>
            </w:pPr>
            <w:r w:rsidRPr="00472140">
              <w:rPr>
                <w:b/>
                <w:bCs/>
              </w:rPr>
              <w:t>Feb</w:t>
            </w:r>
            <w:r>
              <w:rPr>
                <w:b/>
                <w:bCs/>
              </w:rPr>
              <w:t>ruary</w:t>
            </w:r>
            <w:r w:rsidRPr="00472140">
              <w:rPr>
                <w:b/>
                <w:bCs/>
              </w:rPr>
              <w:t xml:space="preserve"> 12th 2023 to Mar</w:t>
            </w:r>
            <w:r>
              <w:rPr>
                <w:b/>
                <w:bCs/>
              </w:rPr>
              <w:t>ch</w:t>
            </w:r>
            <w:r w:rsidRPr="00472140">
              <w:rPr>
                <w:b/>
                <w:bCs/>
              </w:rPr>
              <w:t xml:space="preserve"> 11th 2023</w:t>
            </w:r>
          </w:p>
        </w:tc>
        <w:tc>
          <w:tcPr>
            <w:tcW w:w="2126" w:type="dxa"/>
            <w:shd w:val="clear" w:color="auto" w:fill="D9D9D9" w:themeFill="background1" w:themeFillShade="D9"/>
            <w:hideMark/>
          </w:tcPr>
          <w:p w:rsidR="00472140" w:rsidRPr="00472140" w:rsidRDefault="00472140" w:rsidP="00472140">
            <w:pPr>
              <w:rPr>
                <w:b/>
                <w:bCs/>
              </w:rPr>
            </w:pPr>
            <w:r w:rsidRPr="00472140">
              <w:rPr>
                <w:b/>
                <w:bCs/>
              </w:rPr>
              <w:t>Mar</w:t>
            </w:r>
            <w:r>
              <w:rPr>
                <w:b/>
                <w:bCs/>
              </w:rPr>
              <w:t>ch</w:t>
            </w:r>
            <w:r w:rsidRPr="00472140">
              <w:rPr>
                <w:b/>
                <w:bCs/>
              </w:rPr>
              <w:t xml:space="preserve"> 12th 2023 to Apr</w:t>
            </w:r>
            <w:r>
              <w:rPr>
                <w:b/>
                <w:bCs/>
              </w:rPr>
              <w:t>il</w:t>
            </w:r>
            <w:r w:rsidRPr="00472140">
              <w:rPr>
                <w:b/>
                <w:bCs/>
              </w:rPr>
              <w:t xml:space="preserve"> 11th 2023</w:t>
            </w:r>
          </w:p>
        </w:tc>
      </w:tr>
      <w:tr w:rsidR="00472140" w:rsidRPr="00472140" w:rsidTr="00472140">
        <w:trPr>
          <w:trHeight w:val="292"/>
        </w:trPr>
        <w:tc>
          <w:tcPr>
            <w:tcW w:w="1838" w:type="dxa"/>
            <w:noWrap/>
            <w:hideMark/>
          </w:tcPr>
          <w:p w:rsidR="00472140" w:rsidRPr="00472140" w:rsidRDefault="00472140">
            <w:pPr>
              <w:rPr>
                <w:b/>
                <w:bCs/>
              </w:rPr>
            </w:pPr>
            <w:r w:rsidRPr="00472140">
              <w:rPr>
                <w:b/>
                <w:bCs/>
              </w:rPr>
              <w:t>Transgender Hate Crimes</w:t>
            </w:r>
          </w:p>
        </w:tc>
        <w:tc>
          <w:tcPr>
            <w:tcW w:w="1985" w:type="dxa"/>
            <w:noWrap/>
            <w:hideMark/>
          </w:tcPr>
          <w:p w:rsidR="00472140" w:rsidRPr="00472140" w:rsidRDefault="00472140" w:rsidP="00472140">
            <w:r w:rsidRPr="00472140">
              <w:t>5</w:t>
            </w:r>
          </w:p>
        </w:tc>
        <w:tc>
          <w:tcPr>
            <w:tcW w:w="2126" w:type="dxa"/>
            <w:noWrap/>
            <w:hideMark/>
          </w:tcPr>
          <w:p w:rsidR="00472140" w:rsidRPr="00472140" w:rsidRDefault="00472140" w:rsidP="00472140">
            <w:r w:rsidRPr="00472140">
              <w:t>18</w:t>
            </w:r>
          </w:p>
        </w:tc>
        <w:tc>
          <w:tcPr>
            <w:tcW w:w="2346" w:type="dxa"/>
            <w:noWrap/>
            <w:hideMark/>
          </w:tcPr>
          <w:p w:rsidR="00472140" w:rsidRPr="00472140" w:rsidRDefault="00472140" w:rsidP="00472140">
            <w:r w:rsidRPr="00472140">
              <w:t>11</w:t>
            </w:r>
          </w:p>
        </w:tc>
        <w:tc>
          <w:tcPr>
            <w:tcW w:w="2126" w:type="dxa"/>
            <w:noWrap/>
            <w:hideMark/>
          </w:tcPr>
          <w:p w:rsidR="00472140" w:rsidRPr="00472140" w:rsidRDefault="00472140" w:rsidP="00472140">
            <w:r w:rsidRPr="00472140">
              <w:t>15</w:t>
            </w:r>
          </w:p>
        </w:tc>
        <w:tc>
          <w:tcPr>
            <w:tcW w:w="2126" w:type="dxa"/>
            <w:noWrap/>
            <w:hideMark/>
          </w:tcPr>
          <w:p w:rsidR="00472140" w:rsidRPr="00472140" w:rsidRDefault="00472140" w:rsidP="00472140">
            <w:r w:rsidRPr="00472140">
              <w:t>19</w:t>
            </w:r>
          </w:p>
        </w:tc>
        <w:tc>
          <w:tcPr>
            <w:tcW w:w="2126" w:type="dxa"/>
            <w:noWrap/>
            <w:hideMark/>
          </w:tcPr>
          <w:p w:rsidR="00472140" w:rsidRPr="00472140" w:rsidRDefault="00472140" w:rsidP="00472140">
            <w:r w:rsidRPr="00472140">
              <w:t>19</w:t>
            </w:r>
          </w:p>
        </w:tc>
      </w:tr>
    </w:tbl>
    <w:p w:rsidR="00472140" w:rsidRDefault="00472140" w:rsidP="00F10DAB"/>
    <w:p w:rsidR="00455189" w:rsidRDefault="00455189" w:rsidP="00F10DAB">
      <w:r>
        <w:t>Recorded Hate Concern Nominals with a Transgender Hate Aggravator.</w:t>
      </w:r>
    </w:p>
    <w:p w:rsidR="00455189" w:rsidRDefault="00455189" w:rsidP="00455189">
      <w:r>
        <w:t>The time period for the table is the selected periods between 12 December 2021 and 11 April 2023.</w:t>
      </w:r>
    </w:p>
    <w:tbl>
      <w:tblPr>
        <w:tblStyle w:val="TableGrid"/>
        <w:tblW w:w="0" w:type="auto"/>
        <w:tblLook w:val="04A0" w:firstRow="1" w:lastRow="0" w:firstColumn="1" w:lastColumn="0" w:noHBand="0" w:noVBand="1"/>
        <w:tblCaption w:val="Recorded Hate Concern Nominals with a Transgender Hate Aggravator."/>
        <w:tblDescription w:val="Recorded Hate Concern Nominals with a Transgender Hate Aggravator.&#10;The time period for the table is the selected periods between 12 December 2021 and 11 April 2023.&#10;"/>
      </w:tblPr>
      <w:tblGrid>
        <w:gridCol w:w="1838"/>
        <w:gridCol w:w="1985"/>
        <w:gridCol w:w="2126"/>
        <w:gridCol w:w="2479"/>
        <w:gridCol w:w="2044"/>
        <w:gridCol w:w="2044"/>
        <w:gridCol w:w="2044"/>
      </w:tblGrid>
      <w:tr w:rsidR="00455189" w:rsidRPr="00455189" w:rsidTr="00455189">
        <w:trPr>
          <w:trHeight w:val="645"/>
          <w:tblHeader/>
        </w:trPr>
        <w:tc>
          <w:tcPr>
            <w:tcW w:w="1838" w:type="dxa"/>
            <w:shd w:val="clear" w:color="auto" w:fill="D9D9D9" w:themeFill="background1" w:themeFillShade="D9"/>
            <w:noWrap/>
            <w:hideMark/>
          </w:tcPr>
          <w:p w:rsidR="00455189" w:rsidRPr="00455189" w:rsidRDefault="00455189">
            <w:pPr>
              <w:rPr>
                <w:b/>
              </w:rPr>
            </w:pPr>
            <w:r w:rsidRPr="00455189">
              <w:t> </w:t>
            </w:r>
            <w:r w:rsidRPr="00455189">
              <w:rPr>
                <w:b/>
              </w:rPr>
              <w:t>Date Period</w:t>
            </w:r>
          </w:p>
        </w:tc>
        <w:tc>
          <w:tcPr>
            <w:tcW w:w="1985" w:type="dxa"/>
            <w:shd w:val="clear" w:color="auto" w:fill="D9D9D9" w:themeFill="background1" w:themeFillShade="D9"/>
            <w:hideMark/>
          </w:tcPr>
          <w:p w:rsidR="00455189" w:rsidRPr="00455189" w:rsidRDefault="00455189" w:rsidP="00455189">
            <w:pPr>
              <w:rPr>
                <w:b/>
                <w:bCs/>
              </w:rPr>
            </w:pPr>
            <w:r w:rsidRPr="00455189">
              <w:rPr>
                <w:b/>
                <w:bCs/>
              </w:rPr>
              <w:t xml:space="preserve"> Dec</w:t>
            </w:r>
            <w:r>
              <w:rPr>
                <w:b/>
                <w:bCs/>
              </w:rPr>
              <w:t>ember</w:t>
            </w:r>
            <w:r w:rsidRPr="00455189">
              <w:rPr>
                <w:b/>
                <w:bCs/>
              </w:rPr>
              <w:t xml:space="preserve"> 12th 2021 to Jan</w:t>
            </w:r>
            <w:r>
              <w:rPr>
                <w:b/>
                <w:bCs/>
              </w:rPr>
              <w:t>uary</w:t>
            </w:r>
            <w:r w:rsidRPr="00455189">
              <w:rPr>
                <w:b/>
                <w:bCs/>
              </w:rPr>
              <w:t xml:space="preserve"> 11th 2022</w:t>
            </w:r>
          </w:p>
        </w:tc>
        <w:tc>
          <w:tcPr>
            <w:tcW w:w="2126" w:type="dxa"/>
            <w:shd w:val="clear" w:color="auto" w:fill="D9D9D9" w:themeFill="background1" w:themeFillShade="D9"/>
            <w:hideMark/>
          </w:tcPr>
          <w:p w:rsidR="00455189" w:rsidRPr="00455189" w:rsidRDefault="00455189" w:rsidP="00455189">
            <w:pPr>
              <w:rPr>
                <w:b/>
                <w:bCs/>
              </w:rPr>
            </w:pPr>
            <w:r w:rsidRPr="00455189">
              <w:rPr>
                <w:b/>
                <w:bCs/>
              </w:rPr>
              <w:t>Jan</w:t>
            </w:r>
            <w:r>
              <w:rPr>
                <w:b/>
                <w:bCs/>
              </w:rPr>
              <w:t>uary</w:t>
            </w:r>
            <w:r w:rsidRPr="00455189">
              <w:rPr>
                <w:b/>
                <w:bCs/>
              </w:rPr>
              <w:t xml:space="preserve"> 12th 2022 to Feb</w:t>
            </w:r>
            <w:r>
              <w:rPr>
                <w:b/>
                <w:bCs/>
              </w:rPr>
              <w:t>ruary</w:t>
            </w:r>
            <w:r w:rsidRPr="00455189">
              <w:rPr>
                <w:b/>
                <w:bCs/>
              </w:rPr>
              <w:t xml:space="preserve"> 11th 2022</w:t>
            </w:r>
          </w:p>
        </w:tc>
        <w:tc>
          <w:tcPr>
            <w:tcW w:w="2479" w:type="dxa"/>
            <w:shd w:val="clear" w:color="auto" w:fill="D9D9D9" w:themeFill="background1" w:themeFillShade="D9"/>
            <w:hideMark/>
          </w:tcPr>
          <w:p w:rsidR="00455189" w:rsidRPr="00455189" w:rsidRDefault="00455189" w:rsidP="00455189">
            <w:pPr>
              <w:rPr>
                <w:b/>
                <w:bCs/>
              </w:rPr>
            </w:pPr>
            <w:r w:rsidRPr="00455189">
              <w:rPr>
                <w:b/>
                <w:bCs/>
              </w:rPr>
              <w:t>Dec</w:t>
            </w:r>
            <w:r>
              <w:rPr>
                <w:b/>
                <w:bCs/>
              </w:rPr>
              <w:t>ember</w:t>
            </w:r>
            <w:r w:rsidRPr="00455189">
              <w:rPr>
                <w:b/>
                <w:bCs/>
              </w:rPr>
              <w:t xml:space="preserve"> 12th 2022 to Jan 11th 2023</w:t>
            </w:r>
          </w:p>
        </w:tc>
        <w:tc>
          <w:tcPr>
            <w:tcW w:w="2044" w:type="dxa"/>
            <w:shd w:val="clear" w:color="auto" w:fill="D9D9D9" w:themeFill="background1" w:themeFillShade="D9"/>
            <w:hideMark/>
          </w:tcPr>
          <w:p w:rsidR="00455189" w:rsidRPr="00455189" w:rsidRDefault="00455189" w:rsidP="00455189">
            <w:pPr>
              <w:rPr>
                <w:b/>
                <w:bCs/>
              </w:rPr>
            </w:pPr>
            <w:r w:rsidRPr="00455189">
              <w:rPr>
                <w:b/>
                <w:bCs/>
              </w:rPr>
              <w:t>Jan</w:t>
            </w:r>
            <w:r>
              <w:rPr>
                <w:b/>
                <w:bCs/>
              </w:rPr>
              <w:t xml:space="preserve">uary 12th 2023 to February </w:t>
            </w:r>
            <w:r w:rsidRPr="00455189">
              <w:rPr>
                <w:b/>
                <w:bCs/>
              </w:rPr>
              <w:t>11th 2023</w:t>
            </w:r>
          </w:p>
        </w:tc>
        <w:tc>
          <w:tcPr>
            <w:tcW w:w="2044" w:type="dxa"/>
            <w:shd w:val="clear" w:color="auto" w:fill="D9D9D9" w:themeFill="background1" w:themeFillShade="D9"/>
            <w:hideMark/>
          </w:tcPr>
          <w:p w:rsidR="00455189" w:rsidRPr="00455189" w:rsidRDefault="00455189" w:rsidP="00455189">
            <w:pPr>
              <w:rPr>
                <w:b/>
                <w:bCs/>
              </w:rPr>
            </w:pPr>
            <w:r w:rsidRPr="00455189">
              <w:rPr>
                <w:b/>
                <w:bCs/>
              </w:rPr>
              <w:t>Feb</w:t>
            </w:r>
            <w:r>
              <w:rPr>
                <w:b/>
                <w:bCs/>
              </w:rPr>
              <w:t xml:space="preserve">ruary 12th 2023 to March </w:t>
            </w:r>
            <w:r w:rsidRPr="00455189">
              <w:rPr>
                <w:b/>
                <w:bCs/>
              </w:rPr>
              <w:t>11th 2023</w:t>
            </w:r>
          </w:p>
        </w:tc>
        <w:tc>
          <w:tcPr>
            <w:tcW w:w="2044" w:type="dxa"/>
            <w:shd w:val="clear" w:color="auto" w:fill="D9D9D9" w:themeFill="background1" w:themeFillShade="D9"/>
            <w:hideMark/>
          </w:tcPr>
          <w:p w:rsidR="00455189" w:rsidRPr="00455189" w:rsidRDefault="00455189" w:rsidP="00455189">
            <w:pPr>
              <w:rPr>
                <w:b/>
                <w:bCs/>
              </w:rPr>
            </w:pPr>
            <w:r w:rsidRPr="00455189">
              <w:rPr>
                <w:b/>
                <w:bCs/>
              </w:rPr>
              <w:t>Mar</w:t>
            </w:r>
            <w:r>
              <w:rPr>
                <w:b/>
                <w:bCs/>
              </w:rPr>
              <w:t>ch</w:t>
            </w:r>
            <w:r w:rsidRPr="00455189">
              <w:rPr>
                <w:b/>
                <w:bCs/>
              </w:rPr>
              <w:t xml:space="preserve"> 12th 2023 to Apr</w:t>
            </w:r>
            <w:r>
              <w:rPr>
                <w:b/>
                <w:bCs/>
              </w:rPr>
              <w:t>il</w:t>
            </w:r>
            <w:r w:rsidRPr="00455189">
              <w:rPr>
                <w:b/>
                <w:bCs/>
              </w:rPr>
              <w:t xml:space="preserve"> 11th 2023</w:t>
            </w:r>
          </w:p>
        </w:tc>
      </w:tr>
      <w:tr w:rsidR="00455189" w:rsidRPr="00455189" w:rsidTr="00455189">
        <w:trPr>
          <w:trHeight w:val="330"/>
        </w:trPr>
        <w:tc>
          <w:tcPr>
            <w:tcW w:w="1838" w:type="dxa"/>
            <w:noWrap/>
            <w:hideMark/>
          </w:tcPr>
          <w:p w:rsidR="00455189" w:rsidRPr="00455189" w:rsidRDefault="00455189">
            <w:pPr>
              <w:rPr>
                <w:b/>
                <w:bCs/>
              </w:rPr>
            </w:pPr>
            <w:r w:rsidRPr="00455189">
              <w:rPr>
                <w:b/>
                <w:bCs/>
              </w:rPr>
              <w:t>Hate Concern Nominals</w:t>
            </w:r>
          </w:p>
        </w:tc>
        <w:tc>
          <w:tcPr>
            <w:tcW w:w="1985" w:type="dxa"/>
            <w:noWrap/>
            <w:hideMark/>
          </w:tcPr>
          <w:p w:rsidR="00455189" w:rsidRPr="00455189" w:rsidRDefault="00455189" w:rsidP="00455189">
            <w:r w:rsidRPr="00455189">
              <w:t>8</w:t>
            </w:r>
          </w:p>
        </w:tc>
        <w:tc>
          <w:tcPr>
            <w:tcW w:w="2126" w:type="dxa"/>
            <w:noWrap/>
            <w:hideMark/>
          </w:tcPr>
          <w:p w:rsidR="00455189" w:rsidRPr="00455189" w:rsidRDefault="00455189" w:rsidP="00455189">
            <w:r w:rsidRPr="00455189">
              <w:t>27</w:t>
            </w:r>
          </w:p>
        </w:tc>
        <w:tc>
          <w:tcPr>
            <w:tcW w:w="2479" w:type="dxa"/>
            <w:noWrap/>
            <w:hideMark/>
          </w:tcPr>
          <w:p w:rsidR="00455189" w:rsidRPr="00455189" w:rsidRDefault="00455189" w:rsidP="00455189">
            <w:r w:rsidRPr="00455189">
              <w:t>18</w:t>
            </w:r>
          </w:p>
        </w:tc>
        <w:tc>
          <w:tcPr>
            <w:tcW w:w="2044" w:type="dxa"/>
            <w:noWrap/>
            <w:hideMark/>
          </w:tcPr>
          <w:p w:rsidR="00455189" w:rsidRPr="00455189" w:rsidRDefault="00455189" w:rsidP="00455189">
            <w:r w:rsidRPr="00455189">
              <w:t>29</w:t>
            </w:r>
          </w:p>
        </w:tc>
        <w:tc>
          <w:tcPr>
            <w:tcW w:w="2044" w:type="dxa"/>
            <w:noWrap/>
            <w:hideMark/>
          </w:tcPr>
          <w:p w:rsidR="00455189" w:rsidRPr="00455189" w:rsidRDefault="00455189" w:rsidP="00455189">
            <w:r w:rsidRPr="00455189">
              <w:t>32</w:t>
            </w:r>
          </w:p>
        </w:tc>
        <w:tc>
          <w:tcPr>
            <w:tcW w:w="2044" w:type="dxa"/>
            <w:noWrap/>
            <w:hideMark/>
          </w:tcPr>
          <w:p w:rsidR="00455189" w:rsidRPr="00455189" w:rsidRDefault="00455189" w:rsidP="00455189">
            <w:r w:rsidRPr="00455189">
              <w:t>29</w:t>
            </w:r>
          </w:p>
        </w:tc>
      </w:tr>
    </w:tbl>
    <w:p w:rsidR="00455189" w:rsidRDefault="00455189" w:rsidP="00F10DAB"/>
    <w:p w:rsidR="00043656" w:rsidRDefault="00043656" w:rsidP="00043656">
      <w:r>
        <w:lastRenderedPageBreak/>
        <w:t xml:space="preserve">Recorded </w:t>
      </w:r>
      <w:r>
        <w:t xml:space="preserve">iVPD </w:t>
      </w:r>
      <w:r>
        <w:t xml:space="preserve">Hate </w:t>
      </w:r>
      <w:r>
        <w:t>Crimes</w:t>
      </w:r>
      <w:r>
        <w:t xml:space="preserve"> wit</w:t>
      </w:r>
      <w:r>
        <w:t>h a Transgender Hate Aggravator, by crime type.</w:t>
      </w:r>
    </w:p>
    <w:p w:rsidR="00043656" w:rsidRDefault="00043656" w:rsidP="00043656">
      <w:r>
        <w:t>The time period for the table is the selected periods between 12 December 2021 and 11 April 2023.</w:t>
      </w:r>
    </w:p>
    <w:tbl>
      <w:tblPr>
        <w:tblStyle w:val="TableGrid"/>
        <w:tblW w:w="0" w:type="auto"/>
        <w:tblLook w:val="04A0" w:firstRow="1" w:lastRow="0" w:firstColumn="1" w:lastColumn="0" w:noHBand="0" w:noVBand="1"/>
        <w:tblCaption w:val="Recorded iVPD Hate Crimes with a Transgender Hate Aggravator, by crime type."/>
        <w:tblDescription w:val="Recorded iVPD Hate Crimes with a Transgender Hate Aggravator, by crime type.&#10;The time period for the table is the selected periods between 12 December 2021 and 11 April 2023.&#10;"/>
      </w:tblPr>
      <w:tblGrid>
        <w:gridCol w:w="3351"/>
        <w:gridCol w:w="1869"/>
        <w:gridCol w:w="1868"/>
        <w:gridCol w:w="1868"/>
        <w:gridCol w:w="1868"/>
        <w:gridCol w:w="1868"/>
        <w:gridCol w:w="1868"/>
      </w:tblGrid>
      <w:tr w:rsidR="00043656" w:rsidRPr="00043656" w:rsidTr="00043656">
        <w:trPr>
          <w:trHeight w:val="945"/>
          <w:tblHeader/>
        </w:trPr>
        <w:tc>
          <w:tcPr>
            <w:tcW w:w="3351" w:type="dxa"/>
            <w:shd w:val="clear" w:color="auto" w:fill="D9D9D9" w:themeFill="background1" w:themeFillShade="D9"/>
            <w:noWrap/>
            <w:hideMark/>
          </w:tcPr>
          <w:p w:rsidR="00043656" w:rsidRPr="00043656" w:rsidRDefault="00043656">
            <w:pPr>
              <w:rPr>
                <w:b/>
                <w:bCs/>
              </w:rPr>
            </w:pPr>
            <w:r w:rsidRPr="00043656">
              <w:rPr>
                <w:b/>
                <w:bCs/>
              </w:rPr>
              <w:t>Crime Bulletin Categories</w:t>
            </w:r>
          </w:p>
        </w:tc>
        <w:tc>
          <w:tcPr>
            <w:tcW w:w="1869" w:type="dxa"/>
            <w:shd w:val="clear" w:color="auto" w:fill="D9D9D9" w:themeFill="background1" w:themeFillShade="D9"/>
            <w:hideMark/>
          </w:tcPr>
          <w:p w:rsidR="00043656" w:rsidRPr="00043656" w:rsidRDefault="00043656" w:rsidP="00043656">
            <w:pPr>
              <w:rPr>
                <w:b/>
                <w:bCs/>
              </w:rPr>
            </w:pPr>
            <w:r w:rsidRPr="00043656">
              <w:rPr>
                <w:b/>
                <w:bCs/>
              </w:rPr>
              <w:t xml:space="preserve"> Dec</w:t>
            </w:r>
            <w:r>
              <w:rPr>
                <w:b/>
                <w:bCs/>
              </w:rPr>
              <w:t>ember</w:t>
            </w:r>
            <w:r w:rsidRPr="00043656">
              <w:rPr>
                <w:b/>
                <w:bCs/>
              </w:rPr>
              <w:t xml:space="preserve"> 12th 2021 to Jan</w:t>
            </w:r>
            <w:r>
              <w:rPr>
                <w:b/>
                <w:bCs/>
              </w:rPr>
              <w:t>uary</w:t>
            </w:r>
            <w:r w:rsidRPr="00043656">
              <w:rPr>
                <w:b/>
                <w:bCs/>
              </w:rPr>
              <w:t xml:space="preserve"> 11th 2022</w:t>
            </w:r>
          </w:p>
        </w:tc>
        <w:tc>
          <w:tcPr>
            <w:tcW w:w="1868" w:type="dxa"/>
            <w:shd w:val="clear" w:color="auto" w:fill="D9D9D9" w:themeFill="background1" w:themeFillShade="D9"/>
            <w:hideMark/>
          </w:tcPr>
          <w:p w:rsidR="00043656" w:rsidRPr="00043656" w:rsidRDefault="00043656" w:rsidP="00043656">
            <w:pPr>
              <w:rPr>
                <w:b/>
                <w:bCs/>
              </w:rPr>
            </w:pPr>
            <w:r w:rsidRPr="00043656">
              <w:rPr>
                <w:b/>
                <w:bCs/>
              </w:rPr>
              <w:t>Jan</w:t>
            </w:r>
            <w:r>
              <w:rPr>
                <w:b/>
                <w:bCs/>
              </w:rPr>
              <w:t xml:space="preserve">uary 12th 2022 to February </w:t>
            </w:r>
            <w:r w:rsidRPr="00043656">
              <w:rPr>
                <w:b/>
                <w:bCs/>
              </w:rPr>
              <w:t>11th 2022</w:t>
            </w:r>
          </w:p>
        </w:tc>
        <w:tc>
          <w:tcPr>
            <w:tcW w:w="1868" w:type="dxa"/>
            <w:shd w:val="clear" w:color="auto" w:fill="D9D9D9" w:themeFill="background1" w:themeFillShade="D9"/>
            <w:hideMark/>
          </w:tcPr>
          <w:p w:rsidR="00043656" w:rsidRPr="00043656" w:rsidRDefault="00043656" w:rsidP="00043656">
            <w:pPr>
              <w:rPr>
                <w:b/>
                <w:bCs/>
              </w:rPr>
            </w:pPr>
            <w:r w:rsidRPr="00043656">
              <w:rPr>
                <w:b/>
                <w:bCs/>
              </w:rPr>
              <w:t>Dec</w:t>
            </w:r>
            <w:r>
              <w:rPr>
                <w:b/>
                <w:bCs/>
              </w:rPr>
              <w:t>ember</w:t>
            </w:r>
            <w:r w:rsidRPr="00043656">
              <w:rPr>
                <w:b/>
                <w:bCs/>
              </w:rPr>
              <w:t xml:space="preserve"> 12th 2022 to Jan</w:t>
            </w:r>
            <w:r>
              <w:rPr>
                <w:b/>
                <w:bCs/>
              </w:rPr>
              <w:t>uary</w:t>
            </w:r>
            <w:r w:rsidRPr="00043656">
              <w:rPr>
                <w:b/>
                <w:bCs/>
              </w:rPr>
              <w:t xml:space="preserve"> 11th 2023</w:t>
            </w:r>
          </w:p>
        </w:tc>
        <w:tc>
          <w:tcPr>
            <w:tcW w:w="1868" w:type="dxa"/>
            <w:shd w:val="clear" w:color="auto" w:fill="D9D9D9" w:themeFill="background1" w:themeFillShade="D9"/>
            <w:hideMark/>
          </w:tcPr>
          <w:p w:rsidR="00043656" w:rsidRPr="00043656" w:rsidRDefault="00043656" w:rsidP="00043656">
            <w:pPr>
              <w:rPr>
                <w:b/>
                <w:bCs/>
              </w:rPr>
            </w:pPr>
            <w:r w:rsidRPr="00043656">
              <w:rPr>
                <w:b/>
                <w:bCs/>
              </w:rPr>
              <w:t>Jan</w:t>
            </w:r>
            <w:r>
              <w:rPr>
                <w:b/>
                <w:bCs/>
              </w:rPr>
              <w:t>uary</w:t>
            </w:r>
            <w:r w:rsidRPr="00043656">
              <w:rPr>
                <w:b/>
                <w:bCs/>
              </w:rPr>
              <w:t xml:space="preserve"> 12th 2023 to Feb</w:t>
            </w:r>
            <w:r>
              <w:rPr>
                <w:b/>
                <w:bCs/>
              </w:rPr>
              <w:t>ruary</w:t>
            </w:r>
            <w:r w:rsidRPr="00043656">
              <w:rPr>
                <w:b/>
                <w:bCs/>
              </w:rPr>
              <w:t xml:space="preserve"> 11th 2023</w:t>
            </w:r>
          </w:p>
        </w:tc>
        <w:tc>
          <w:tcPr>
            <w:tcW w:w="1868" w:type="dxa"/>
            <w:shd w:val="clear" w:color="auto" w:fill="D9D9D9" w:themeFill="background1" w:themeFillShade="D9"/>
            <w:hideMark/>
          </w:tcPr>
          <w:p w:rsidR="00043656" w:rsidRPr="00043656" w:rsidRDefault="00043656" w:rsidP="00043656">
            <w:pPr>
              <w:rPr>
                <w:b/>
                <w:bCs/>
              </w:rPr>
            </w:pPr>
            <w:r w:rsidRPr="00043656">
              <w:rPr>
                <w:b/>
                <w:bCs/>
              </w:rPr>
              <w:t>Feb</w:t>
            </w:r>
            <w:r>
              <w:rPr>
                <w:b/>
                <w:bCs/>
              </w:rPr>
              <w:t>ruary</w:t>
            </w:r>
            <w:r w:rsidRPr="00043656">
              <w:rPr>
                <w:b/>
                <w:bCs/>
              </w:rPr>
              <w:t xml:space="preserve"> 12th 2023 to Mar</w:t>
            </w:r>
            <w:r>
              <w:rPr>
                <w:b/>
                <w:bCs/>
              </w:rPr>
              <w:t>ch</w:t>
            </w:r>
            <w:r w:rsidRPr="00043656">
              <w:rPr>
                <w:b/>
                <w:bCs/>
              </w:rPr>
              <w:t xml:space="preserve"> 11th 2023</w:t>
            </w:r>
          </w:p>
        </w:tc>
        <w:tc>
          <w:tcPr>
            <w:tcW w:w="1868" w:type="dxa"/>
            <w:shd w:val="clear" w:color="auto" w:fill="D9D9D9" w:themeFill="background1" w:themeFillShade="D9"/>
            <w:hideMark/>
          </w:tcPr>
          <w:p w:rsidR="00043656" w:rsidRPr="00043656" w:rsidRDefault="00043656" w:rsidP="00043656">
            <w:pPr>
              <w:rPr>
                <w:b/>
                <w:bCs/>
              </w:rPr>
            </w:pPr>
            <w:r w:rsidRPr="00043656">
              <w:rPr>
                <w:b/>
                <w:bCs/>
              </w:rPr>
              <w:t>Mar</w:t>
            </w:r>
            <w:r>
              <w:rPr>
                <w:b/>
                <w:bCs/>
              </w:rPr>
              <w:t>ch</w:t>
            </w:r>
            <w:r w:rsidRPr="00043656">
              <w:rPr>
                <w:b/>
                <w:bCs/>
              </w:rPr>
              <w:t xml:space="preserve"> 12th 2023 to Apr</w:t>
            </w:r>
            <w:r>
              <w:rPr>
                <w:b/>
                <w:bCs/>
              </w:rPr>
              <w:t>il</w:t>
            </w:r>
            <w:r w:rsidRPr="00043656">
              <w:rPr>
                <w:b/>
                <w:bCs/>
              </w:rPr>
              <w:t xml:space="preserve"> 11th 2023</w:t>
            </w:r>
          </w:p>
        </w:tc>
      </w:tr>
      <w:tr w:rsidR="00043656" w:rsidRPr="00043656" w:rsidTr="00043656">
        <w:trPr>
          <w:trHeight w:val="330"/>
        </w:trPr>
        <w:tc>
          <w:tcPr>
            <w:tcW w:w="3351" w:type="dxa"/>
            <w:noWrap/>
            <w:hideMark/>
          </w:tcPr>
          <w:p w:rsidR="00043656" w:rsidRPr="00043656" w:rsidRDefault="00043656">
            <w:pPr>
              <w:rPr>
                <w:b/>
                <w:bCs/>
              </w:rPr>
            </w:pPr>
            <w:r w:rsidRPr="00043656">
              <w:rPr>
                <w:b/>
                <w:bCs/>
              </w:rPr>
              <w:t>Handling bladed/pointed instrument</w:t>
            </w:r>
          </w:p>
        </w:tc>
        <w:tc>
          <w:tcPr>
            <w:tcW w:w="1869" w:type="dxa"/>
            <w:noWrap/>
            <w:hideMark/>
          </w:tcPr>
          <w:p w:rsidR="00043656" w:rsidRPr="00043656" w:rsidRDefault="00043656" w:rsidP="00043656">
            <w:r w:rsidRPr="00043656">
              <w:t>0</w:t>
            </w:r>
          </w:p>
        </w:tc>
        <w:tc>
          <w:tcPr>
            <w:tcW w:w="1868" w:type="dxa"/>
            <w:noWrap/>
            <w:hideMark/>
          </w:tcPr>
          <w:p w:rsidR="00043656" w:rsidRPr="00043656" w:rsidRDefault="00043656" w:rsidP="00043656">
            <w:r w:rsidRPr="00043656">
              <w:t>0</w:t>
            </w:r>
          </w:p>
        </w:tc>
        <w:tc>
          <w:tcPr>
            <w:tcW w:w="1868" w:type="dxa"/>
            <w:noWrap/>
            <w:hideMark/>
          </w:tcPr>
          <w:p w:rsidR="00043656" w:rsidRPr="00043656" w:rsidRDefault="00043656" w:rsidP="00043656">
            <w:r w:rsidRPr="00043656">
              <w:t>0</w:t>
            </w:r>
          </w:p>
        </w:tc>
        <w:tc>
          <w:tcPr>
            <w:tcW w:w="1868" w:type="dxa"/>
            <w:noWrap/>
            <w:hideMark/>
          </w:tcPr>
          <w:p w:rsidR="00043656" w:rsidRPr="00043656" w:rsidRDefault="00043656" w:rsidP="00043656">
            <w:r w:rsidRPr="00043656">
              <w:t>0</w:t>
            </w:r>
          </w:p>
        </w:tc>
        <w:tc>
          <w:tcPr>
            <w:tcW w:w="1868" w:type="dxa"/>
            <w:noWrap/>
            <w:hideMark/>
          </w:tcPr>
          <w:p w:rsidR="00043656" w:rsidRPr="00043656" w:rsidRDefault="00043656" w:rsidP="00043656">
            <w:r w:rsidRPr="00043656">
              <w:t>1</w:t>
            </w:r>
          </w:p>
        </w:tc>
        <w:tc>
          <w:tcPr>
            <w:tcW w:w="1868" w:type="dxa"/>
            <w:noWrap/>
            <w:hideMark/>
          </w:tcPr>
          <w:p w:rsidR="00043656" w:rsidRPr="00043656" w:rsidRDefault="00043656" w:rsidP="00043656">
            <w:r w:rsidRPr="00043656">
              <w:t>0</w:t>
            </w:r>
          </w:p>
        </w:tc>
      </w:tr>
    </w:tbl>
    <w:p w:rsidR="00043656" w:rsidRDefault="00043656" w:rsidP="00F10DAB"/>
    <w:p w:rsidR="00DD4274" w:rsidRPr="00DD4274" w:rsidRDefault="00DD4274" w:rsidP="00DD4274">
      <w:r w:rsidRPr="00DD4274">
        <w:t>All statistics are provisional and should be treated as management information. All data have been extracted from Police Scotland internal systems and are correct as at 26/4/2023.</w:t>
      </w:r>
    </w:p>
    <w:p w:rsidR="00DD4274" w:rsidRPr="00DD4274" w:rsidRDefault="00DD4274" w:rsidP="00DD4274">
      <w:r w:rsidRPr="00DD4274">
        <w:t>1. The data was extracted using the crime's raised date and by using SGJD codes 504303 - Carrying of Knives etc S Act 1993, 504304 - Having in a prison an article with a blade or point, 504308 - Having in a school an article with a blade or point, 504310 - Having in a public place an article with a blade or point used in other criminal activity, 504312 - Having in a prison an article with a blade or point u</w:t>
      </w:r>
      <w:r w:rsidRPr="00DD4274">
        <w:t>sed in other criminal activity, 504314 - Having in a school an article with a blade or point used in other criminal activity.</w:t>
      </w:r>
    </w:p>
    <w:p w:rsidR="00DD4274" w:rsidRDefault="00DD4274" w:rsidP="00DD4274">
      <w:pPr>
        <w:rPr>
          <w:iCs/>
        </w:rPr>
        <w:sectPr w:rsidR="00DD4274" w:rsidSect="00472140">
          <w:pgSz w:w="16838" w:h="11906" w:orient="landscape"/>
          <w:pgMar w:top="1134" w:right="1134" w:bottom="1134" w:left="1134" w:header="284" w:footer="284" w:gutter="0"/>
          <w:cols w:space="708"/>
          <w:docGrid w:linePitch="360"/>
        </w:sectPr>
      </w:pPr>
      <w:r w:rsidRPr="00DD4274">
        <w:rPr>
          <w:iCs/>
        </w:rPr>
        <w:t>Police Scotland does not retain any information for statistical purposes once a record has been weeded from iVPD.  When a record is weeded, it is removed from the system, and there is no retention of data outside the weeding and retention policy.</w:t>
      </w:r>
      <w:r w:rsidRPr="00DD4274">
        <w:t xml:space="preserve">  </w:t>
      </w:r>
      <w:r w:rsidRPr="00DD4274">
        <w:rPr>
          <w:iCs/>
        </w:rPr>
        <w:t>Please note, the weeding and retention policy states that if a person is recorded as "no concern / not applicable" then this will only be retained for 6 months.</w:t>
      </w:r>
    </w:p>
    <w:p w:rsidR="00DD4274" w:rsidRPr="00DD4274" w:rsidRDefault="00DD4274" w:rsidP="00DD4274">
      <w:pPr>
        <w:rPr>
          <w:iCs/>
        </w:rPr>
      </w:pPr>
      <w:r w:rsidRPr="00DD4274">
        <w:rPr>
          <w:iCs/>
        </w:rPr>
        <w:lastRenderedPageBreak/>
        <w:t xml:space="preserve">Please note that these data are collated from the Police Scotland iVPD system, which has an automated weeding and retention policy built on to it. A copy of the retention policy is available on the Police Scotland internet site </w:t>
      </w:r>
      <w:hyperlink r:id="rId14" w:history="1">
        <w:r>
          <w:rPr>
            <w:color w:val="0000FF"/>
            <w:u w:val="single"/>
          </w:rPr>
          <w:t>Police Scotland Record Retention Standard Operating Procedure</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DD4274">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B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B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3656"/>
    <w:rsid w:val="00090F3B"/>
    <w:rsid w:val="000E6526"/>
    <w:rsid w:val="00141533"/>
    <w:rsid w:val="00167528"/>
    <w:rsid w:val="00195CC4"/>
    <w:rsid w:val="00207326"/>
    <w:rsid w:val="00253DF6"/>
    <w:rsid w:val="00255F1E"/>
    <w:rsid w:val="0036503B"/>
    <w:rsid w:val="003D6D03"/>
    <w:rsid w:val="003E12CA"/>
    <w:rsid w:val="004010DC"/>
    <w:rsid w:val="004341F0"/>
    <w:rsid w:val="00455189"/>
    <w:rsid w:val="00456324"/>
    <w:rsid w:val="00472140"/>
    <w:rsid w:val="00475460"/>
    <w:rsid w:val="00490317"/>
    <w:rsid w:val="00491644"/>
    <w:rsid w:val="00496A08"/>
    <w:rsid w:val="004E1605"/>
    <w:rsid w:val="004F653C"/>
    <w:rsid w:val="00540A52"/>
    <w:rsid w:val="00557306"/>
    <w:rsid w:val="006617B4"/>
    <w:rsid w:val="006C528F"/>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51DB8"/>
    <w:rsid w:val="00B71B3C"/>
    <w:rsid w:val="00B76CC0"/>
    <w:rsid w:val="00BC389E"/>
    <w:rsid w:val="00BE1888"/>
    <w:rsid w:val="00BF6B81"/>
    <w:rsid w:val="00C077A8"/>
    <w:rsid w:val="00C56AE6"/>
    <w:rsid w:val="00C606A2"/>
    <w:rsid w:val="00C63872"/>
    <w:rsid w:val="00C84948"/>
    <w:rsid w:val="00CF1111"/>
    <w:rsid w:val="00D05706"/>
    <w:rsid w:val="00D27DC5"/>
    <w:rsid w:val="00D47E36"/>
    <w:rsid w:val="00DD4274"/>
    <w:rsid w:val="00E55D79"/>
    <w:rsid w:val="00E75B5D"/>
    <w:rsid w:val="00EF4761"/>
    <w:rsid w:val="00F10DAB"/>
    <w:rsid w:val="00FC2DA7"/>
    <w:rsid w:val="00FE44E2"/>
    <w:rsid w:val="00FE7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C56AE6"/>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C56AE6"/>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8870">
      <w:bodyDiv w:val="1"/>
      <w:marLeft w:val="0"/>
      <w:marRight w:val="0"/>
      <w:marTop w:val="0"/>
      <w:marBottom w:val="0"/>
      <w:divBdr>
        <w:top w:val="none" w:sz="0" w:space="0" w:color="auto"/>
        <w:left w:val="none" w:sz="0" w:space="0" w:color="auto"/>
        <w:bottom w:val="none" w:sz="0" w:space="0" w:color="auto"/>
        <w:right w:val="none" w:sz="0" w:space="0" w:color="auto"/>
      </w:divBdr>
    </w:div>
    <w:div w:id="598829716">
      <w:bodyDiv w:val="1"/>
      <w:marLeft w:val="0"/>
      <w:marRight w:val="0"/>
      <w:marTop w:val="0"/>
      <w:marBottom w:val="0"/>
      <w:divBdr>
        <w:top w:val="none" w:sz="0" w:space="0" w:color="auto"/>
        <w:left w:val="none" w:sz="0" w:space="0" w:color="auto"/>
        <w:bottom w:val="none" w:sz="0" w:space="0" w:color="auto"/>
        <w:right w:val="none" w:sz="0" w:space="0" w:color="auto"/>
      </w:divBdr>
    </w:div>
    <w:div w:id="656346922">
      <w:bodyDiv w:val="1"/>
      <w:marLeft w:val="0"/>
      <w:marRight w:val="0"/>
      <w:marTop w:val="0"/>
      <w:marBottom w:val="0"/>
      <w:divBdr>
        <w:top w:val="none" w:sz="0" w:space="0" w:color="auto"/>
        <w:left w:val="none" w:sz="0" w:space="0" w:color="auto"/>
        <w:bottom w:val="none" w:sz="0" w:space="0" w:color="auto"/>
        <w:right w:val="none" w:sz="0" w:space="0" w:color="auto"/>
      </w:divBdr>
    </w:div>
    <w:div w:id="817890153">
      <w:bodyDiv w:val="1"/>
      <w:marLeft w:val="0"/>
      <w:marRight w:val="0"/>
      <w:marTop w:val="0"/>
      <w:marBottom w:val="0"/>
      <w:divBdr>
        <w:top w:val="none" w:sz="0" w:space="0" w:color="auto"/>
        <w:left w:val="none" w:sz="0" w:space="0" w:color="auto"/>
        <w:bottom w:val="none" w:sz="0" w:space="0" w:color="auto"/>
        <w:right w:val="none" w:sz="0" w:space="0" w:color="auto"/>
      </w:divBdr>
    </w:div>
    <w:div w:id="846142539">
      <w:bodyDiv w:val="1"/>
      <w:marLeft w:val="0"/>
      <w:marRight w:val="0"/>
      <w:marTop w:val="0"/>
      <w:marBottom w:val="0"/>
      <w:divBdr>
        <w:top w:val="none" w:sz="0" w:space="0" w:color="auto"/>
        <w:left w:val="none" w:sz="0" w:space="0" w:color="auto"/>
        <w:bottom w:val="none" w:sz="0" w:space="0" w:color="auto"/>
        <w:right w:val="none" w:sz="0" w:space="0" w:color="auto"/>
      </w:divBdr>
    </w:div>
    <w:div w:id="1007706313">
      <w:bodyDiv w:val="1"/>
      <w:marLeft w:val="0"/>
      <w:marRight w:val="0"/>
      <w:marTop w:val="0"/>
      <w:marBottom w:val="0"/>
      <w:divBdr>
        <w:top w:val="none" w:sz="0" w:space="0" w:color="auto"/>
        <w:left w:val="none" w:sz="0" w:space="0" w:color="auto"/>
        <w:bottom w:val="none" w:sz="0" w:space="0" w:color="auto"/>
        <w:right w:val="none" w:sz="0" w:space="0" w:color="auto"/>
      </w:divBdr>
    </w:div>
    <w:div w:id="1091049883">
      <w:bodyDiv w:val="1"/>
      <w:marLeft w:val="0"/>
      <w:marRight w:val="0"/>
      <w:marTop w:val="0"/>
      <w:marBottom w:val="0"/>
      <w:divBdr>
        <w:top w:val="none" w:sz="0" w:space="0" w:color="auto"/>
        <w:left w:val="none" w:sz="0" w:space="0" w:color="auto"/>
        <w:bottom w:val="none" w:sz="0" w:space="0" w:color="auto"/>
        <w:right w:val="none" w:sz="0" w:space="0" w:color="auto"/>
      </w:divBdr>
    </w:div>
    <w:div w:id="1147477707">
      <w:bodyDiv w:val="1"/>
      <w:marLeft w:val="0"/>
      <w:marRight w:val="0"/>
      <w:marTop w:val="0"/>
      <w:marBottom w:val="0"/>
      <w:divBdr>
        <w:top w:val="none" w:sz="0" w:space="0" w:color="auto"/>
        <w:left w:val="none" w:sz="0" w:space="0" w:color="auto"/>
        <w:bottom w:val="none" w:sz="0" w:space="0" w:color="auto"/>
        <w:right w:val="none" w:sz="0" w:space="0" w:color="auto"/>
      </w:divBdr>
    </w:div>
    <w:div w:id="18775478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otland.police.uk/access-to-information/freedom-of-information/disclosure-lo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enquiries@itspublicknowledge.info" TargetMode="External"/><Relationship Id="rId2" Type="http://schemas.openxmlformats.org/officeDocument/2006/relationships/styles" Target="styles.xml"/><Relationship Id="rId16" Type="http://schemas.openxmlformats.org/officeDocument/2006/relationships/hyperlink" Target="http://www.itspublicknowledge.info/Appe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foi@scotland.police.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cotland.police.uk/spa-media/nhobty5i/record-retention-sop.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884</Words>
  <Characters>5041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