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E719F5" w:rsidR="00B17211" w:rsidRPr="00B17211" w:rsidRDefault="00B17211" w:rsidP="007F490F">
            <w:r w:rsidRPr="007F490F">
              <w:rPr>
                <w:rStyle w:val="Heading2Char"/>
              </w:rPr>
              <w:t>Our reference:</w:t>
            </w:r>
            <w:r>
              <w:t xml:space="preserve">  FOI 2</w:t>
            </w:r>
            <w:r w:rsidR="00EF0FBB">
              <w:t>5</w:t>
            </w:r>
            <w:r>
              <w:t>-</w:t>
            </w:r>
            <w:r w:rsidR="00EE2C03">
              <w:t>1032</w:t>
            </w:r>
          </w:p>
          <w:p w14:paraId="34BDABA6" w14:textId="43CC5F1D" w:rsidR="00B17211" w:rsidRDefault="00456324" w:rsidP="00EE2373">
            <w:r w:rsidRPr="007F490F">
              <w:rPr>
                <w:rStyle w:val="Heading2Char"/>
              </w:rPr>
              <w:t>Respon</w:t>
            </w:r>
            <w:r w:rsidR="007D55F6">
              <w:rPr>
                <w:rStyle w:val="Heading2Char"/>
              </w:rPr>
              <w:t>ded to:</w:t>
            </w:r>
            <w:r w:rsidR="007F490F">
              <w:t xml:space="preserve">  </w:t>
            </w:r>
            <w:r w:rsidR="009C3804">
              <w:t xml:space="preserve">3 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C9F9559" w14:textId="48A95124" w:rsidR="00EE2C03" w:rsidRPr="00EE2C03" w:rsidRDefault="00EE2C03" w:rsidP="00EE2C03">
      <w:pPr>
        <w:tabs>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Please provide the following details for all recorded incidents of public indecency from 1st January 2022 to the present date: </w:t>
      </w:r>
    </w:p>
    <w:p w14:paraId="71315FDB" w14:textId="77777777" w:rsidR="00EE2C03" w:rsidRPr="00EE2C03" w:rsidRDefault="00EE2C03" w:rsidP="00EE2C03">
      <w:pPr>
        <w:numPr>
          <w:ilvl w:val="0"/>
          <w:numId w:val="2"/>
        </w:numPr>
        <w:tabs>
          <w:tab w:val="num" w:pos="720"/>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A breakdown of the nature of each public indecency offense, including but not limited to: </w:t>
      </w:r>
    </w:p>
    <w:p w14:paraId="0E373D50" w14:textId="77777777" w:rsidR="00EE2C03" w:rsidRPr="00EE2C03" w:rsidRDefault="00EE2C03" w:rsidP="00EE2C03">
      <w:pPr>
        <w:numPr>
          <w:ilvl w:val="1"/>
          <w:numId w:val="2"/>
        </w:numPr>
        <w:tabs>
          <w:tab w:val="num" w:pos="1440"/>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Public sexual acts (including specifics such as intercourse, oral, or anal sex) </w:t>
      </w:r>
    </w:p>
    <w:p w14:paraId="7837D723" w14:textId="77777777" w:rsidR="00EE2C03" w:rsidRPr="00EE2C03" w:rsidRDefault="00EE2C03" w:rsidP="00EE2C03">
      <w:pPr>
        <w:numPr>
          <w:ilvl w:val="1"/>
          <w:numId w:val="2"/>
        </w:numPr>
        <w:tabs>
          <w:tab w:val="num" w:pos="1440"/>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Indecent exposure/flashing </w:t>
      </w:r>
    </w:p>
    <w:p w14:paraId="114558F2" w14:textId="77777777" w:rsidR="00EE2C03" w:rsidRPr="00EE2C03" w:rsidRDefault="00EE2C03" w:rsidP="00EE2C03">
      <w:pPr>
        <w:numPr>
          <w:ilvl w:val="1"/>
          <w:numId w:val="2"/>
        </w:numPr>
        <w:tabs>
          <w:tab w:val="num" w:pos="1440"/>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Public masturbation </w:t>
      </w:r>
    </w:p>
    <w:p w14:paraId="2C71FFE0" w14:textId="77777777" w:rsidR="00EE2C03" w:rsidRPr="00EE2C03" w:rsidRDefault="00EE2C03" w:rsidP="00EE2C03">
      <w:pPr>
        <w:numPr>
          <w:ilvl w:val="1"/>
          <w:numId w:val="2"/>
        </w:numPr>
        <w:tabs>
          <w:tab w:val="num" w:pos="1440"/>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Other forms of public indecency (please specify) </w:t>
      </w:r>
    </w:p>
    <w:p w14:paraId="2C72048D" w14:textId="77777777" w:rsidR="00EE2C03" w:rsidRPr="00EE2C03" w:rsidRDefault="00EE2C03" w:rsidP="00EE2C03">
      <w:pPr>
        <w:numPr>
          <w:ilvl w:val="0"/>
          <w:numId w:val="2"/>
        </w:numPr>
        <w:tabs>
          <w:tab w:val="num" w:pos="720"/>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The date and time of each recorded incident. </w:t>
      </w:r>
    </w:p>
    <w:p w14:paraId="2D255656" w14:textId="77777777" w:rsidR="00EE2C03" w:rsidRPr="00EE2C03" w:rsidRDefault="00EE2C03" w:rsidP="00EE2C03">
      <w:pPr>
        <w:numPr>
          <w:ilvl w:val="0"/>
          <w:numId w:val="2"/>
        </w:numPr>
        <w:tabs>
          <w:tab w:val="num" w:pos="720"/>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The specific location of each incident (e.g., park, street name, shopping area, public transport). </w:t>
      </w:r>
    </w:p>
    <w:p w14:paraId="0C6DF52A" w14:textId="77777777" w:rsidR="00EE2C03" w:rsidRPr="00EE2C03" w:rsidRDefault="00EE2C03" w:rsidP="00EE2C03">
      <w:pPr>
        <w:numPr>
          <w:ilvl w:val="0"/>
          <w:numId w:val="2"/>
        </w:numPr>
        <w:tabs>
          <w:tab w:val="num" w:pos="720"/>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The outcome of each case, including: </w:t>
      </w:r>
    </w:p>
    <w:p w14:paraId="71631084" w14:textId="77777777" w:rsidR="00EE2C03" w:rsidRPr="00EE2C03" w:rsidRDefault="00EE2C03" w:rsidP="00EE2C03">
      <w:pPr>
        <w:numPr>
          <w:ilvl w:val="1"/>
          <w:numId w:val="3"/>
        </w:numPr>
        <w:tabs>
          <w:tab w:val="num" w:pos="1440"/>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Arrests made </w:t>
      </w:r>
    </w:p>
    <w:p w14:paraId="007D8401" w14:textId="77777777" w:rsidR="00EE2C03" w:rsidRPr="00EE2C03" w:rsidRDefault="00EE2C03" w:rsidP="00EE2C03">
      <w:pPr>
        <w:numPr>
          <w:ilvl w:val="1"/>
          <w:numId w:val="3"/>
        </w:numPr>
        <w:tabs>
          <w:tab w:val="num" w:pos="1440"/>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Cautions issued </w:t>
      </w:r>
    </w:p>
    <w:p w14:paraId="6A3DCB24" w14:textId="77777777" w:rsidR="00EE2C03" w:rsidRPr="00EE2C03" w:rsidRDefault="00EE2C03" w:rsidP="00EE2C03">
      <w:pPr>
        <w:numPr>
          <w:ilvl w:val="1"/>
          <w:numId w:val="3"/>
        </w:numPr>
        <w:tabs>
          <w:tab w:val="num" w:pos="1440"/>
          <w:tab w:val="left" w:pos="5400"/>
        </w:tabs>
        <w:rPr>
          <w:rFonts w:eastAsiaTheme="majorEastAsia" w:cstheme="majorBidi"/>
          <w:b/>
          <w:color w:val="000000" w:themeColor="text1"/>
          <w:szCs w:val="26"/>
        </w:rPr>
      </w:pPr>
      <w:r w:rsidRPr="00EE2C03">
        <w:rPr>
          <w:rFonts w:eastAsiaTheme="majorEastAsia" w:cstheme="majorBidi"/>
          <w:b/>
          <w:color w:val="000000" w:themeColor="text1"/>
          <w:szCs w:val="26"/>
        </w:rPr>
        <w:t>Charges brought and case outcomes (conviction, dropped, ongoing investigation, etc.) </w:t>
      </w:r>
    </w:p>
    <w:p w14:paraId="3D744A88" w14:textId="77777777" w:rsidR="00EE2C03" w:rsidRPr="00B6549B" w:rsidRDefault="00EE2C03" w:rsidP="00EE2C03">
      <w:pPr>
        <w:tabs>
          <w:tab w:val="left" w:pos="5400"/>
        </w:tabs>
        <w:rPr>
          <w:rFonts w:eastAsiaTheme="majorEastAsia" w:cstheme="majorBidi"/>
          <w:bCs/>
          <w:color w:val="000000" w:themeColor="text1"/>
          <w:szCs w:val="26"/>
        </w:rPr>
      </w:pPr>
      <w:r>
        <w:t xml:space="preserve">Home Office Crime Classifications and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315C209E" w14:textId="0FE078E2" w:rsidR="00EE2C03" w:rsidRDefault="00EE2C03" w:rsidP="00EE2C03">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however there is no Scottish crime classification directly equivalent to those mentioned in your request. </w:t>
      </w:r>
    </w:p>
    <w:p w14:paraId="0820A36C" w14:textId="6385682D" w:rsidR="00EE2C03" w:rsidRDefault="00EE2C03" w:rsidP="00EE2C03">
      <w:r>
        <w:lastRenderedPageBreak/>
        <w:t xml:space="preserve">To be of assistance, crime data can be accessed online - </w:t>
      </w:r>
      <w:hyperlink r:id="rId12" w:history="1">
        <w:r>
          <w:rPr>
            <w:rStyle w:val="Hyperlink"/>
          </w:rPr>
          <w:t>Crime data - Police Scotland</w:t>
        </w:r>
      </w:hyperlink>
      <w:r>
        <w:t>.</w:t>
      </w:r>
    </w:p>
    <w:p w14:paraId="55F263BC" w14:textId="5E2C45FA" w:rsidR="00EE2C03" w:rsidRPr="00B6549B" w:rsidRDefault="00EE2C03" w:rsidP="00EE2C03">
      <w:pPr>
        <w:tabs>
          <w:tab w:val="left" w:pos="5400"/>
        </w:tabs>
        <w:rPr>
          <w:rFonts w:eastAsiaTheme="majorEastAsia" w:cstheme="majorBidi"/>
          <w:bCs/>
          <w:color w:val="000000" w:themeColor="text1"/>
          <w:szCs w:val="26"/>
        </w:rPr>
      </w:pPr>
      <w:r>
        <w:t>Additionally, Home Office outcome categories do not extend to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4EE90F1E" w14:textId="77777777" w:rsidR="00EE2C03" w:rsidRDefault="00EE2C03" w:rsidP="00EE2C03">
      <w:r>
        <w:t xml:space="preserve">Crimes in Scotland are recorded in accordance with the </w:t>
      </w:r>
      <w:hyperlink r:id="rId13" w:history="1">
        <w:r w:rsidRPr="00307992">
          <w:rPr>
            <w:rStyle w:val="Hyperlink"/>
          </w:rPr>
          <w:t>Scottish Crime Recording Standard</w:t>
        </w:r>
      </w:hyperlink>
      <w:r>
        <w:t xml:space="preserve"> and crimes are reported as recorded or detected.  </w:t>
      </w:r>
    </w:p>
    <w:p w14:paraId="1394A77C" w14:textId="0FFA76D1" w:rsidR="00EE2C03" w:rsidRDefault="00EE2C03" w:rsidP="00EE2C03">
      <w:r>
        <w:t>Detected crimes are those</w:t>
      </w:r>
      <w:r w:rsidRPr="007D1918">
        <w:t xml:space="preserve"> where an accused has been identified and there exists a sufficiency of evidence under Scots Law to justify consideration of criminal proceedings.</w:t>
      </w:r>
    </w:p>
    <w:p w14:paraId="24867D91" w14:textId="29E9F04F" w:rsidR="00EE2C03" w:rsidRDefault="00EE2C03" w:rsidP="00EE2C03">
      <w:pPr>
        <w:rPr>
          <w:rFonts w:eastAsiaTheme="majorEastAsia" w:cstheme="majorBidi"/>
          <w:bCs/>
          <w:color w:val="000000" w:themeColor="text1"/>
          <w:szCs w:val="26"/>
        </w:rPr>
      </w:pPr>
      <w:r>
        <w:t>Furthermore, Police Scotland does not hold data regarding cautions</w:t>
      </w:r>
      <w:r>
        <w:rPr>
          <w:rFonts w:eastAsiaTheme="majorEastAsia" w:cstheme="majorBidi"/>
          <w:bCs/>
          <w:color w:val="000000" w:themeColor="text1"/>
          <w:szCs w:val="26"/>
        </w:rPr>
        <w:t>.</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w:t>
      </w:r>
    </w:p>
    <w:p w14:paraId="568BF951" w14:textId="77777777" w:rsidR="00EE2C03" w:rsidRPr="00464D8D" w:rsidRDefault="00EE2C03" w:rsidP="00EE2C03">
      <w:r w:rsidRPr="00464D8D">
        <w:t xml:space="preserve">In England and Wales, </w:t>
      </w:r>
      <w:r>
        <w:t>a caution is</w:t>
      </w:r>
      <w:r w:rsidRPr="00464D8D">
        <w:t xml:space="preserve"> a formal police warning</w:t>
      </w:r>
      <w:r>
        <w:t xml:space="preserve"> whereas in </w:t>
      </w:r>
      <w:r w:rsidRPr="00464D8D">
        <w:t>Scotland</w:t>
      </w:r>
      <w:r>
        <w:t>,</w:t>
      </w:r>
      <w:r w:rsidRPr="00464D8D">
        <w:t xml:space="preserve"> </w:t>
      </w:r>
      <w:r>
        <w:t>a</w:t>
      </w:r>
      <w:r w:rsidRPr="00464D8D">
        <w:t xml:space="preserve"> caution is simply informing </w:t>
      </w:r>
      <w:r>
        <w:t>a</w:t>
      </w:r>
      <w:r w:rsidRPr="00464D8D">
        <w:t xml:space="preserve"> person of their rights</w:t>
      </w:r>
      <w:r>
        <w:t xml:space="preserve">.  It is common law, </w:t>
      </w:r>
      <w:r w:rsidRPr="00464D8D">
        <w:t xml:space="preserve">used when interviewing a suspect, taking a statement from someone who may end up being an accused person, or when charging someone. </w:t>
      </w:r>
    </w:p>
    <w:p w14:paraId="3EFAEC6B" w14:textId="55636CA3" w:rsidR="00EE2C03" w:rsidRDefault="00EE2C03" w:rsidP="00EE2C03">
      <w:r>
        <w:t>To be of assistance, we could provide you with recorded and detected crime data for the SGJD classifications of Public Indecency, Sexual Exposure and Voyeurism if that was of interest</w:t>
      </w:r>
      <w:r w:rsidRPr="007D1918">
        <w:t>.</w:t>
      </w:r>
      <w:r>
        <w:t xml:space="preserve">  </w:t>
      </w:r>
    </w:p>
    <w:p w14:paraId="55F8E1C5" w14:textId="3B4C8A55" w:rsidR="00EE2C03" w:rsidRDefault="00EE2C03" w:rsidP="00EE2C03">
      <w:r>
        <w:t>​Please note that it is unlikely we could provide exact location data due to privacy concerns and we would therefore recommend the provision of data by Local Authority Multi Member Ward area etc.</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4" w14:textId="229AAA6C" w:rsidR="007F490F" w:rsidRDefault="007F490F" w:rsidP="00E644FC">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A251D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2C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CD16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2C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4F998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2C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5B0A3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2C8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AF423C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2C8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DFE67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2C8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B0A68"/>
    <w:multiLevelType w:val="multilevel"/>
    <w:tmpl w:val="C7800EE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681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249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30A"/>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6E4E1B"/>
    <w:rsid w:val="007440EA"/>
    <w:rsid w:val="00750D83"/>
    <w:rsid w:val="00785DBC"/>
    <w:rsid w:val="00793DD5"/>
    <w:rsid w:val="007D55F6"/>
    <w:rsid w:val="007F490F"/>
    <w:rsid w:val="0086779C"/>
    <w:rsid w:val="00874BFD"/>
    <w:rsid w:val="00875E5E"/>
    <w:rsid w:val="008964EF"/>
    <w:rsid w:val="00915E01"/>
    <w:rsid w:val="009631A4"/>
    <w:rsid w:val="00977296"/>
    <w:rsid w:val="009A19EC"/>
    <w:rsid w:val="009C3804"/>
    <w:rsid w:val="009F2C8D"/>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644FC"/>
    <w:rsid w:val="00EE2373"/>
    <w:rsid w:val="00EE2C0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1125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22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p0nfjj2c/scottish-crime-recording-standard-crime-recording-and-counting-rules-april-2021.pdf?view=Stand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597</Words>
  <Characters>3406</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