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27CC2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54978">
              <w:t>2783</w:t>
            </w:r>
          </w:p>
          <w:p w14:paraId="34BDABA6" w14:textId="166EA6D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442B1">
              <w:t>2</w:t>
            </w:r>
            <w:r w:rsidR="00654978">
              <w:t>9</w:t>
            </w:r>
            <w:r w:rsidR="006D5799">
              <w:t xml:space="preserve"> </w:t>
            </w:r>
            <w:r w:rsidR="0034364D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07967F" w14:textId="77777777" w:rsidR="00654978" w:rsidRDefault="00654978" w:rsidP="00654978">
      <w:pPr>
        <w:pStyle w:val="Heading2"/>
        <w:rPr>
          <w:rFonts w:eastAsia="Times New Roman"/>
        </w:rPr>
      </w:pPr>
      <w:r>
        <w:rPr>
          <w:rFonts w:eastAsia="Times New Roman"/>
        </w:rPr>
        <w:t>Please provide the following information regarding employment disputes involving Police Scotland (or its predecessor forces prior to 2013):</w:t>
      </w:r>
    </w:p>
    <w:p w14:paraId="0A55A632" w14:textId="77777777" w:rsidR="00654978" w:rsidRDefault="00654978" w:rsidP="00654978">
      <w:pPr>
        <w:pStyle w:val="Heading2"/>
        <w:rPr>
          <w:rFonts w:eastAsia="Times New Roman"/>
        </w:rPr>
      </w:pPr>
      <w:r>
        <w:rPr>
          <w:rFonts w:eastAsia="Times New Roman"/>
        </w:rPr>
        <w:br/>
        <w:t>1. The total number of employment disputes that were resolved through settlement agreements (including any agreements containing non-disclosure or confidentiality clauses) for each calendar year from 2005 to 2024, and for 2025 up to the date of your response.</w:t>
      </w:r>
    </w:p>
    <w:p w14:paraId="30AF6F5A" w14:textId="5A6BE14D" w:rsidR="00654978" w:rsidRDefault="002E6C6B" w:rsidP="00654978">
      <w:r w:rsidRPr="002E6C6B">
        <w:t>I have interpreted the term settlement agreement to include a COT3 agreement (a type of settlement agreement facilitated by ACAS).</w:t>
      </w:r>
      <w:r>
        <w:rPr>
          <w:rFonts w:ascii="Calibri" w:hAnsi="Calibri" w:cs="Calibri"/>
        </w:rPr>
        <w:t xml:space="preserve"> </w:t>
      </w:r>
      <w:r w:rsidR="00654978">
        <w:t>Unfortunately,</w:t>
      </w:r>
      <w:r w:rsidR="00654978" w:rsidRPr="00453F0A">
        <w:t xml:space="preserve"> </w:t>
      </w:r>
      <w:r>
        <w:t xml:space="preserve">to provide this information prior to 2020 </w:t>
      </w:r>
      <w:r w:rsidR="00654978" w:rsidRPr="00453F0A">
        <w:t>I estimate that it would cost well in excess</w:t>
      </w:r>
      <w:r w:rsidR="00654978">
        <w:t xml:space="preserve"> of</w:t>
      </w:r>
      <w:r w:rsidR="00654978" w:rsidRPr="00453F0A">
        <w:t xml:space="preserve"> </w:t>
      </w:r>
      <w:r w:rsidR="00654978">
        <w:t>t</w:t>
      </w:r>
      <w:r w:rsidR="00654978" w:rsidRPr="00453F0A">
        <w:t xml:space="preserve">he </w:t>
      </w:r>
      <w:r w:rsidR="00654978" w:rsidRPr="00982D19">
        <w:t>current FOI cost threshold</w:t>
      </w:r>
      <w:r w:rsidR="00654978">
        <w:t xml:space="preserve"> of </w:t>
      </w:r>
      <w:r w:rsidR="00654978" w:rsidRPr="00453F0A">
        <w:t>£600</w:t>
      </w:r>
      <w:r w:rsidR="00654978">
        <w:t xml:space="preserve"> to process your request.  I am therefore refusing to provide the information sought in terms of s</w:t>
      </w:r>
      <w:r w:rsidR="00654978" w:rsidRPr="00453F0A">
        <w:t xml:space="preserve">ection 12(1) </w:t>
      </w:r>
      <w:r w:rsidR="00654978">
        <w:t xml:space="preserve">of the Act - </w:t>
      </w:r>
      <w:r w:rsidR="00654978" w:rsidRPr="00453F0A">
        <w:t>Excessive Cost of Compliance.</w:t>
      </w:r>
    </w:p>
    <w:p w14:paraId="13A65FD7" w14:textId="77777777" w:rsidR="002E6C6B" w:rsidRDefault="002E6C6B" w:rsidP="002E6C6B">
      <w:r>
        <w:t xml:space="preserve">To explain, </w:t>
      </w:r>
      <w:r w:rsidRPr="002E6C6B">
        <w:t xml:space="preserve">to provide information prior to that date would require us to manually search every Employment Tribunal file that has been opened over that period. It is estimated that this would involve a search of in excess of 300 files.  </w:t>
      </w:r>
      <w:r w:rsidRPr="00B72092">
        <w:t xml:space="preserve">This would </w:t>
      </w:r>
      <w:r>
        <w:t>cost well in excess of the £600 and 40 hours prescribed by the Scottish Ministers under the Act.</w:t>
      </w:r>
    </w:p>
    <w:p w14:paraId="7191B472" w14:textId="1EDFC4FE" w:rsidR="002E6C6B" w:rsidRPr="002E6C6B" w:rsidRDefault="002E6C6B" w:rsidP="002E6C6B">
      <w:r>
        <w:t xml:space="preserve">However, I have provided below figures from 2020 onwards. </w:t>
      </w:r>
    </w:p>
    <w:p w14:paraId="7DC45D24" w14:textId="77777777" w:rsidR="002E6C6B" w:rsidRDefault="002E6C6B" w:rsidP="002E6C6B">
      <w:r>
        <w:t>2020 – 8</w:t>
      </w:r>
    </w:p>
    <w:p w14:paraId="71362549" w14:textId="77777777" w:rsidR="002E6C6B" w:rsidRDefault="002E6C6B" w:rsidP="002E6C6B">
      <w:r>
        <w:t>2021 – 5</w:t>
      </w:r>
    </w:p>
    <w:p w14:paraId="4541616C" w14:textId="77777777" w:rsidR="002E6C6B" w:rsidRDefault="002E6C6B" w:rsidP="002E6C6B">
      <w:r>
        <w:t>2022 – 25</w:t>
      </w:r>
    </w:p>
    <w:p w14:paraId="78434878" w14:textId="77777777" w:rsidR="002E6C6B" w:rsidRDefault="002E6C6B" w:rsidP="002E6C6B">
      <w:r>
        <w:t>2023 – 19</w:t>
      </w:r>
    </w:p>
    <w:p w14:paraId="48401470" w14:textId="77777777" w:rsidR="002E6C6B" w:rsidRDefault="002E6C6B" w:rsidP="002E6C6B">
      <w:r>
        <w:t>2024 – 16</w:t>
      </w:r>
    </w:p>
    <w:p w14:paraId="5D5CD571" w14:textId="77777777" w:rsidR="002E6C6B" w:rsidRDefault="002E6C6B" w:rsidP="002E6C6B">
      <w:r>
        <w:t>2025 – 13</w:t>
      </w:r>
    </w:p>
    <w:p w14:paraId="55596D76" w14:textId="5925630C" w:rsidR="00654978" w:rsidRDefault="00654978" w:rsidP="0065497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br/>
        <w:t>2. For each such settlement agreement referenced in point 1, the number that included a non-disclosure or confidentiality clause.</w:t>
      </w:r>
    </w:p>
    <w:p w14:paraId="54CE3FF6" w14:textId="77777777" w:rsidR="002E6C6B" w:rsidRDefault="002E6C6B" w:rsidP="002E6C6B">
      <w:r>
        <w:t>2020 – 7</w:t>
      </w:r>
    </w:p>
    <w:p w14:paraId="077890C5" w14:textId="77777777" w:rsidR="002E6C6B" w:rsidRDefault="002E6C6B" w:rsidP="002E6C6B">
      <w:r>
        <w:t>2021 – 4</w:t>
      </w:r>
    </w:p>
    <w:p w14:paraId="37568539" w14:textId="77777777" w:rsidR="002E6C6B" w:rsidRDefault="002E6C6B" w:rsidP="002E6C6B">
      <w:r>
        <w:t>2022 – 19</w:t>
      </w:r>
    </w:p>
    <w:p w14:paraId="0D41A344" w14:textId="77777777" w:rsidR="002E6C6B" w:rsidRDefault="002E6C6B" w:rsidP="002E6C6B">
      <w:r>
        <w:t>2023 – 14</w:t>
      </w:r>
    </w:p>
    <w:p w14:paraId="2A212D17" w14:textId="77777777" w:rsidR="002E6C6B" w:rsidRDefault="002E6C6B" w:rsidP="002E6C6B">
      <w:r>
        <w:t>2024 – 6</w:t>
      </w:r>
    </w:p>
    <w:p w14:paraId="55CB8679" w14:textId="77777777" w:rsidR="002E6C6B" w:rsidRDefault="002E6C6B" w:rsidP="002E6C6B">
      <w:r>
        <w:t>2025 – 1</w:t>
      </w:r>
    </w:p>
    <w:p w14:paraId="3A48533C" w14:textId="77777777" w:rsidR="002E6C6B" w:rsidRPr="002E6C6B" w:rsidRDefault="002E6C6B" w:rsidP="002E6C6B"/>
    <w:p w14:paraId="59F96499" w14:textId="7BB4CFF3" w:rsidR="00654978" w:rsidRDefault="00654978" w:rsidP="00654978">
      <w:pPr>
        <w:pStyle w:val="Heading2"/>
        <w:rPr>
          <w:rFonts w:eastAsia="Times New Roman"/>
        </w:rPr>
      </w:pPr>
      <w:r>
        <w:rPr>
          <w:rFonts w:eastAsia="Times New Roman"/>
        </w:rPr>
        <w:t>3. For each settlement agreement referenced in point 1, the number which has oversight or approval from the Scottish Government.</w:t>
      </w:r>
    </w:p>
    <w:p w14:paraId="1CA57115" w14:textId="77777777" w:rsidR="002E6C6B" w:rsidRDefault="002E6C6B" w:rsidP="002E6C6B">
      <w:r>
        <w:t>Four of the settled claims over this period were referred to the Scottish Government.</w:t>
      </w:r>
    </w:p>
    <w:p w14:paraId="67902850" w14:textId="77777777" w:rsidR="002E6C6B" w:rsidRPr="002E6C6B" w:rsidRDefault="002E6C6B" w:rsidP="002E6C6B"/>
    <w:p w14:paraId="4F9514AD" w14:textId="77777777" w:rsidR="00654978" w:rsidRDefault="00654978" w:rsidP="00654978">
      <w:pPr>
        <w:pStyle w:val="Heading2"/>
        <w:rPr>
          <w:rFonts w:eastAsia="Times New Roman"/>
        </w:rPr>
      </w:pPr>
      <w:r>
        <w:rPr>
          <w:rFonts w:eastAsia="Times New Roman"/>
        </w:rPr>
        <w:t>4. Please provide the total costs of each settlement agreement which involves a non-disclosure or confidentiality agreement as clarified in point 2, and the total costs of all agreements stated separately.</w:t>
      </w:r>
    </w:p>
    <w:p w14:paraId="15A1A617" w14:textId="46ED08B8" w:rsidR="002E6C6B" w:rsidRDefault="002E6C6B" w:rsidP="002E6C6B">
      <w:r>
        <w:t>Total costs of all agreements</w:t>
      </w:r>
    </w:p>
    <w:p w14:paraId="756D8955" w14:textId="77777777" w:rsidR="002E6C6B" w:rsidRDefault="002E6C6B" w:rsidP="002E6C6B">
      <w:r>
        <w:t>2020 - £94,930</w:t>
      </w:r>
    </w:p>
    <w:p w14:paraId="063A7EF0" w14:textId="77777777" w:rsidR="002E6C6B" w:rsidRDefault="002E6C6B" w:rsidP="002E6C6B">
      <w:r>
        <w:t>2021 - £68,801.60</w:t>
      </w:r>
    </w:p>
    <w:p w14:paraId="0D2476D0" w14:textId="77777777" w:rsidR="002E6C6B" w:rsidRDefault="002E6C6B" w:rsidP="002E6C6B">
      <w:r>
        <w:t>2022 - £1,389,317.94</w:t>
      </w:r>
    </w:p>
    <w:p w14:paraId="4AEEB0D3" w14:textId="77777777" w:rsidR="002E6C6B" w:rsidRDefault="002E6C6B" w:rsidP="002E6C6B">
      <w:r>
        <w:t>2023 - £2,169,523.43</w:t>
      </w:r>
    </w:p>
    <w:p w14:paraId="42026F63" w14:textId="77777777" w:rsidR="002E6C6B" w:rsidRDefault="002E6C6B" w:rsidP="002E6C6B">
      <w:r>
        <w:t>2024 - £725,968.08</w:t>
      </w:r>
    </w:p>
    <w:p w14:paraId="7E2DABBE" w14:textId="5C61FD43" w:rsidR="002E6C6B" w:rsidRPr="002E6C6B" w:rsidRDefault="002E6C6B" w:rsidP="002E6C6B">
      <w:r>
        <w:t>2025 - £203,173.92</w:t>
      </w:r>
    </w:p>
    <w:p w14:paraId="7CE69574" w14:textId="39293EDF" w:rsidR="002E6C6B" w:rsidRDefault="002E6C6B" w:rsidP="002E6C6B">
      <w:r>
        <w:t>Costs of agreements with NDAs</w:t>
      </w:r>
    </w:p>
    <w:p w14:paraId="35008ECF" w14:textId="77777777" w:rsidR="002E6C6B" w:rsidRDefault="002E6C6B" w:rsidP="002E6C6B">
      <w:r>
        <w:t>2020 - £94,330</w:t>
      </w:r>
    </w:p>
    <w:p w14:paraId="717364DA" w14:textId="77777777" w:rsidR="002E6C6B" w:rsidRDefault="002E6C6B" w:rsidP="002E6C6B">
      <w:r>
        <w:t>2021 - £63,801.60</w:t>
      </w:r>
    </w:p>
    <w:p w14:paraId="72F0EE3C" w14:textId="77777777" w:rsidR="002E6C6B" w:rsidRDefault="002E6C6B" w:rsidP="002E6C6B">
      <w:r>
        <w:t>2022 - £402,750</w:t>
      </w:r>
    </w:p>
    <w:p w14:paraId="1FF07B7F" w14:textId="77777777" w:rsidR="002E6C6B" w:rsidRDefault="002E6C6B" w:rsidP="002E6C6B">
      <w:r>
        <w:lastRenderedPageBreak/>
        <w:t>2023 - £2,134,023.43</w:t>
      </w:r>
    </w:p>
    <w:p w14:paraId="67BE68D0" w14:textId="77777777" w:rsidR="002E6C6B" w:rsidRDefault="002E6C6B" w:rsidP="002E6C6B">
      <w:r>
        <w:t>2024 - £192,500</w:t>
      </w:r>
    </w:p>
    <w:p w14:paraId="34BDABB8" w14:textId="7E5DC5E7" w:rsidR="00255F1E" w:rsidRPr="00B11A55" w:rsidRDefault="002E6C6B" w:rsidP="002E6C6B">
      <w:r>
        <w:t>2025 - £6,000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EEA3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3436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3E67F3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75AF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67E68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6251E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42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E6C6B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68BB"/>
    <w:rsid w:val="004E1605"/>
    <w:rsid w:val="004F653C"/>
    <w:rsid w:val="00540A52"/>
    <w:rsid w:val="00557306"/>
    <w:rsid w:val="00645CFA"/>
    <w:rsid w:val="00654978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7D7D"/>
    <w:rsid w:val="00E55D79"/>
    <w:rsid w:val="00EE2373"/>
    <w:rsid w:val="00EF0FBB"/>
    <w:rsid w:val="00EF4761"/>
    <w:rsid w:val="00F442B1"/>
    <w:rsid w:val="00FB7455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purl.org/dc/elements/1.1/"/>
    <ds:schemaRef ds:uri="http://schemas.microsoft.com/office/infopath/2007/PartnerControls"/>
    <ds:schemaRef ds:uri="0e32d40b-a8f5-4c24-a46b-b72b5f0b9b5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2025-09-29T15:14:00Z</cp:lastPrinted>
  <dcterms:created xsi:type="dcterms:W3CDTF">2025-09-19T10:52:00Z</dcterms:created>
  <dcterms:modified xsi:type="dcterms:W3CDTF">2025-09-29T15:14:00Z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