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5C023C3" w:rsidR="00B17211" w:rsidRPr="00B17211" w:rsidRDefault="00B17211" w:rsidP="007F490F">
            <w:r w:rsidRPr="007F490F">
              <w:rPr>
                <w:rStyle w:val="Heading2Char"/>
              </w:rPr>
              <w:t>Our reference:</w:t>
            </w:r>
            <w:r>
              <w:t xml:space="preserve">  FOI 2</w:t>
            </w:r>
            <w:r w:rsidR="00B654B6">
              <w:t>4</w:t>
            </w:r>
            <w:r>
              <w:t>-</w:t>
            </w:r>
            <w:r w:rsidR="00585D47">
              <w:t>1563</w:t>
            </w:r>
          </w:p>
          <w:p w14:paraId="34BDABA6" w14:textId="1302E4DB" w:rsidR="00B17211" w:rsidRDefault="00456324" w:rsidP="00EE2373">
            <w:r w:rsidRPr="007F490F">
              <w:rPr>
                <w:rStyle w:val="Heading2Char"/>
              </w:rPr>
              <w:t>Respon</w:t>
            </w:r>
            <w:r w:rsidR="007D55F6">
              <w:rPr>
                <w:rStyle w:val="Heading2Char"/>
              </w:rPr>
              <w:t>ded to:</w:t>
            </w:r>
            <w:r w:rsidR="007F490F">
              <w:t xml:space="preserve">  </w:t>
            </w:r>
            <w:r w:rsidR="00B17211">
              <w:t>xx</w:t>
            </w:r>
            <w:r w:rsidR="006D5799">
              <w:t xml:space="preserve"> </w:t>
            </w:r>
            <w:r w:rsidR="00B654B6">
              <w:t>J</w:t>
            </w:r>
            <w:r w:rsidR="00752ED6">
              <w:t>u</w:t>
            </w:r>
            <w:r w:rsidR="00332319">
              <w:t>ly</w:t>
            </w:r>
            <w:r>
              <w:t xml:space="preserve"> 202</w:t>
            </w:r>
            <w:r w:rsidR="00B654B6">
              <w:t>4</w:t>
            </w:r>
          </w:p>
        </w:tc>
      </w:tr>
    </w:tbl>
    <w:p w14:paraId="2CA6B0C1" w14:textId="77777777" w:rsidR="00585D47" w:rsidRDefault="00585D47" w:rsidP="0036503B"/>
    <w:p w14:paraId="34BDABA8" w14:textId="3728A09E" w:rsidR="00793DD5" w:rsidRDefault="00793DD5" w:rsidP="0036503B">
      <w:r w:rsidRPr="00793DD5">
        <w:t xml:space="preserve">Your recent request for information is replicated below, together with </w:t>
      </w:r>
      <w:r w:rsidR="004341F0">
        <w:t>our</w:t>
      </w:r>
      <w:r w:rsidRPr="00793DD5">
        <w:t xml:space="preserve"> response.</w:t>
      </w:r>
    </w:p>
    <w:p w14:paraId="06AD6232" w14:textId="382EBAF6" w:rsidR="00D435A8" w:rsidRDefault="00BE3E74" w:rsidP="00D435A8">
      <w:pPr>
        <w:pStyle w:val="Heading2"/>
        <w:rPr>
          <w:rFonts w:eastAsia="Times New Roman"/>
        </w:rPr>
      </w:pPr>
      <w:r>
        <w:rPr>
          <w:rFonts w:eastAsia="Times New Roman"/>
        </w:rPr>
        <w:t xml:space="preserve">Q1. </w:t>
      </w:r>
      <w:r w:rsidR="001238B1">
        <w:rPr>
          <w:rFonts w:eastAsia="Times New Roman"/>
        </w:rPr>
        <w:t xml:space="preserve">How many unidentified bodies or sets of human remains </w:t>
      </w:r>
      <w:r w:rsidR="00463E1F">
        <w:rPr>
          <w:rFonts w:eastAsia="Times New Roman"/>
        </w:rPr>
        <w:t xml:space="preserve">do </w:t>
      </w:r>
      <w:r w:rsidR="001238B1">
        <w:rPr>
          <w:rFonts w:eastAsia="Times New Roman"/>
        </w:rPr>
        <w:t>you currently have under your jurisdiction, broken down by decade found, gender, and ethnicity.</w:t>
      </w:r>
    </w:p>
    <w:p w14:paraId="11922A22" w14:textId="4BCEB6EE" w:rsidR="000162E2" w:rsidRDefault="001F3219" w:rsidP="000162E2">
      <w:pPr>
        <w:rPr>
          <w:rFonts w:eastAsia="Times New Roman"/>
        </w:rPr>
      </w:pPr>
      <w:r>
        <w:t>To first provide the appropriate context</w:t>
      </w:r>
      <w:r>
        <w:t>, t</w:t>
      </w:r>
      <w:r w:rsidR="000162E2">
        <w:rPr>
          <w:rFonts w:eastAsia="Times New Roman"/>
        </w:rPr>
        <w:t xml:space="preserve">he way in which unidentified remains are recorded </w:t>
      </w:r>
      <w:r>
        <w:rPr>
          <w:rFonts w:eastAsia="Times New Roman"/>
        </w:rPr>
        <w:t xml:space="preserve">by Police Scotland </w:t>
      </w:r>
      <w:r w:rsidR="000162E2">
        <w:rPr>
          <w:rFonts w:eastAsia="Times New Roman"/>
        </w:rPr>
        <w:t>is wholly dependent on the manner in which the remains were discovered/recovered.</w:t>
      </w:r>
      <w:r w:rsidR="000162E2">
        <w:rPr>
          <w:rFonts w:eastAsia="Times New Roman"/>
        </w:rPr>
        <w:t xml:space="preserve">  </w:t>
      </w:r>
      <w:r w:rsidR="000162E2" w:rsidRPr="000162E2">
        <w:rPr>
          <w:rFonts w:eastAsia="Times New Roman"/>
        </w:rPr>
        <w:t xml:space="preserve"> If the circumstances surrounding the death are believed to be suspicious, that is to say that the deceased had been victim of murder or culpable homicide, this information would</w:t>
      </w:r>
      <w:r w:rsidR="000162E2">
        <w:rPr>
          <w:rFonts w:eastAsia="Times New Roman"/>
        </w:rPr>
        <w:t xml:space="preserve"> be</w:t>
      </w:r>
      <w:r w:rsidR="000162E2" w:rsidRPr="000162E2">
        <w:rPr>
          <w:rFonts w:eastAsia="Times New Roman"/>
        </w:rPr>
        <w:t xml:space="preserve"> re</w:t>
      </w:r>
      <w:r w:rsidR="000162E2">
        <w:rPr>
          <w:rFonts w:eastAsia="Times New Roman"/>
        </w:rPr>
        <w:t>c</w:t>
      </w:r>
      <w:r w:rsidR="000162E2" w:rsidRPr="000162E2">
        <w:rPr>
          <w:rFonts w:eastAsia="Times New Roman"/>
        </w:rPr>
        <w:t>orded</w:t>
      </w:r>
      <w:r w:rsidR="000162E2">
        <w:rPr>
          <w:rFonts w:eastAsia="Times New Roman"/>
        </w:rPr>
        <w:t xml:space="preserve"> </w:t>
      </w:r>
      <w:r w:rsidR="000162E2" w:rsidRPr="000162E2">
        <w:rPr>
          <w:rFonts w:eastAsia="Times New Roman"/>
        </w:rPr>
        <w:t xml:space="preserve">differently to </w:t>
      </w:r>
      <w:r w:rsidR="000162E2">
        <w:rPr>
          <w:rFonts w:eastAsia="Times New Roman"/>
        </w:rPr>
        <w:t xml:space="preserve">e.g. </w:t>
      </w:r>
      <w:r w:rsidR="000162E2" w:rsidRPr="000162E2">
        <w:rPr>
          <w:rFonts w:eastAsia="Times New Roman"/>
        </w:rPr>
        <w:t>unidentified skeletal remains being washed ashore where anthropological examination suggests that the bones are many decades old</w:t>
      </w:r>
      <w:r w:rsidR="000162E2">
        <w:rPr>
          <w:rFonts w:eastAsia="Times New Roman"/>
        </w:rPr>
        <w:t>.</w:t>
      </w:r>
    </w:p>
    <w:p w14:paraId="7BE54F8A" w14:textId="77777777" w:rsidR="007C170C" w:rsidRDefault="00BE3E74" w:rsidP="001F3219">
      <w:r>
        <w:t xml:space="preserve">However, </w:t>
      </w:r>
      <w:r w:rsidR="001F3219">
        <w:t>i</w:t>
      </w:r>
      <w:r w:rsidR="001F3219" w:rsidRPr="00D64D5A">
        <w:t>t is important to</w:t>
      </w:r>
      <w:r w:rsidR="001F3219">
        <w:t xml:space="preserve"> </w:t>
      </w:r>
      <w:r w:rsidR="001F3219" w:rsidRPr="00D64D5A">
        <w:t>note that</w:t>
      </w:r>
      <w:r w:rsidR="001F3219" w:rsidRPr="001F3219">
        <w:rPr>
          <w:rFonts w:eastAsia="Times New Roman"/>
        </w:rPr>
        <w:t xml:space="preserve"> </w:t>
      </w:r>
      <w:r w:rsidR="001F3219" w:rsidRPr="00D64D5A">
        <w:rPr>
          <w:rFonts w:eastAsia="Times New Roman"/>
        </w:rPr>
        <w:t>pr</w:t>
      </w:r>
      <w:r w:rsidR="001F3219">
        <w:rPr>
          <w:rFonts w:eastAsia="Times New Roman"/>
        </w:rPr>
        <w:t>ior to the forming of</w:t>
      </w:r>
      <w:r w:rsidR="001F3219" w:rsidRPr="00D64D5A">
        <w:rPr>
          <w:rFonts w:eastAsia="Times New Roman"/>
        </w:rPr>
        <w:t xml:space="preserve"> Police Scotland in 2013</w:t>
      </w:r>
      <w:r w:rsidR="001F3219" w:rsidRPr="00D64D5A">
        <w:t xml:space="preserve"> </w:t>
      </w:r>
      <w:r w:rsidR="001F3219" w:rsidRPr="00D64D5A">
        <w:rPr>
          <w:rFonts w:eastAsia="Times New Roman"/>
        </w:rPr>
        <w:t xml:space="preserve">the </w:t>
      </w:r>
      <w:r w:rsidR="001F3219">
        <w:rPr>
          <w:rFonts w:eastAsia="Times New Roman"/>
        </w:rPr>
        <w:t xml:space="preserve">way </w:t>
      </w:r>
      <w:r w:rsidR="001F3219" w:rsidRPr="00D64D5A">
        <w:rPr>
          <w:rFonts w:eastAsia="Times New Roman"/>
        </w:rPr>
        <w:t>in which unidentified remains were recorded was not consistent across all legacy force areas</w:t>
      </w:r>
      <w:r w:rsidR="007C170C">
        <w:rPr>
          <w:rFonts w:eastAsia="Times New Roman"/>
        </w:rPr>
        <w:t xml:space="preserve"> and t</w:t>
      </w:r>
      <w:r w:rsidR="001F3219" w:rsidRPr="00BE3E74">
        <w:t xml:space="preserve">he </w:t>
      </w:r>
      <w:r w:rsidRPr="00BE3E74">
        <w:t>information held is therefore</w:t>
      </w:r>
      <w:r w:rsidR="001F3219" w:rsidRPr="00BE3E74">
        <w:t xml:space="preserve"> limited</w:t>
      </w:r>
      <w:r w:rsidR="007C170C">
        <w:t xml:space="preserve"> for the timescale requested.</w:t>
      </w:r>
    </w:p>
    <w:p w14:paraId="3C3C9822" w14:textId="7831AD6F" w:rsidR="00BE3E74" w:rsidRDefault="008F4C52" w:rsidP="001F3219">
      <w:r>
        <w:t>Accordingly I must advise you that i</w:t>
      </w:r>
      <w:r w:rsidR="00BE3E74" w:rsidRPr="00BE3E74">
        <w:t>t is not possible to provide a</w:t>
      </w:r>
      <w:r>
        <w:t xml:space="preserve"> full and </w:t>
      </w:r>
      <w:r w:rsidR="00BE3E74" w:rsidRPr="00BE3E74">
        <w:t xml:space="preserve">accurate response </w:t>
      </w:r>
      <w:r w:rsidR="000162E2" w:rsidRPr="00BE3E74">
        <w:t xml:space="preserve">relating to the remains of victims who </w:t>
      </w:r>
      <w:r w:rsidR="00BE3E74" w:rsidRPr="00BE3E74">
        <w:t xml:space="preserve">would be </w:t>
      </w:r>
      <w:r w:rsidR="000162E2" w:rsidRPr="00BE3E74">
        <w:t>subject</w:t>
      </w:r>
      <w:r w:rsidR="005D599D" w:rsidRPr="00BE3E74">
        <w:t xml:space="preserve"> to investigation</w:t>
      </w:r>
      <w:r w:rsidR="001F3219" w:rsidRPr="00BE3E74">
        <w:t xml:space="preserve"> by our Homicide Investigation Teams</w:t>
      </w:r>
      <w:r w:rsidR="007C170C">
        <w:t xml:space="preserve"> - o</w:t>
      </w:r>
      <w:r w:rsidR="00BE3E74" w:rsidRPr="00BE3E74">
        <w:rPr>
          <w:rStyle w:val="apple-tab-span"/>
        </w:rPr>
        <w:t>n that basis section 17 of the Act applies and I can confirm that the information sought is not held by Police Scotland.</w:t>
      </w:r>
    </w:p>
    <w:p w14:paraId="76D42AAE" w14:textId="4BB36528" w:rsidR="00D435A8" w:rsidRPr="007C170C" w:rsidRDefault="00BE3E74" w:rsidP="001F3219">
      <w:pPr>
        <w:rPr>
          <w:i/>
          <w:iCs/>
        </w:rPr>
      </w:pPr>
      <w:r w:rsidRPr="007C170C">
        <w:rPr>
          <w:i/>
          <w:iCs/>
        </w:rPr>
        <w:t xml:space="preserve">Notwithstanding, </w:t>
      </w:r>
      <w:r w:rsidR="001F3219" w:rsidRPr="007C170C">
        <w:rPr>
          <w:i/>
          <w:iCs/>
        </w:rPr>
        <w:t>t</w:t>
      </w:r>
      <w:r w:rsidR="00D435A8" w:rsidRPr="007C170C">
        <w:rPr>
          <w:i/>
          <w:iCs/>
        </w:rPr>
        <w:t xml:space="preserve">he information below has been </w:t>
      </w:r>
      <w:r w:rsidRPr="007C170C">
        <w:rPr>
          <w:i/>
          <w:iCs/>
        </w:rPr>
        <w:t xml:space="preserve">provided </w:t>
      </w:r>
      <w:r w:rsidR="00D435A8" w:rsidRPr="007C170C">
        <w:rPr>
          <w:i/>
          <w:iCs/>
        </w:rPr>
        <w:t>by Police Scotland’s Missing Person Unit;</w:t>
      </w:r>
    </w:p>
    <w:p w14:paraId="6D08DE53" w14:textId="08F114D0" w:rsidR="00D435A8" w:rsidRPr="00D435A8" w:rsidRDefault="00D435A8" w:rsidP="007C170C">
      <w:pPr>
        <w:rPr>
          <w:rFonts w:eastAsia="Times New Roman"/>
        </w:rPr>
      </w:pPr>
      <w:r>
        <w:t xml:space="preserve">For the period 1966 to date, </w:t>
      </w:r>
      <w:r w:rsidRPr="00D435A8">
        <w:t>Police Scotland</w:t>
      </w:r>
      <w:r w:rsidR="007C170C">
        <w:t>’s Missing Persons Unit</w:t>
      </w:r>
      <w:r w:rsidRPr="00D435A8">
        <w:t xml:space="preserve"> </w:t>
      </w:r>
      <w:r w:rsidR="00D64D5A">
        <w:t xml:space="preserve">currently </w:t>
      </w:r>
      <w:r>
        <w:t>record</w:t>
      </w:r>
      <w:r w:rsidR="00D64D5A">
        <w:t xml:space="preserve"> </w:t>
      </w:r>
      <w:r w:rsidRPr="00D435A8">
        <w:t>87 unidentified bodies/human remains.</w:t>
      </w:r>
    </w:p>
    <w:p w14:paraId="22917A26" w14:textId="5DDEF91B" w:rsidR="00D435A8" w:rsidRDefault="00C335BE" w:rsidP="00D435A8">
      <w:pPr>
        <w:pStyle w:val="ListParagraph"/>
        <w:numPr>
          <w:ilvl w:val="0"/>
          <w:numId w:val="5"/>
        </w:numPr>
      </w:pPr>
      <w:r>
        <w:t xml:space="preserve">A </w:t>
      </w:r>
      <w:r w:rsidR="00D435A8">
        <w:t xml:space="preserve">breakdown </w:t>
      </w:r>
      <w:r w:rsidR="00D435A8">
        <w:t xml:space="preserve">by </w:t>
      </w:r>
      <w:r w:rsidR="00D435A8">
        <w:t xml:space="preserve">decade is </w:t>
      </w:r>
      <w:r w:rsidR="00D435A8">
        <w:t xml:space="preserve">provided in </w:t>
      </w:r>
      <w:r>
        <w:t xml:space="preserve">the </w:t>
      </w:r>
      <w:r w:rsidR="00D435A8">
        <w:t>table below:</w:t>
      </w:r>
    </w:p>
    <w:tbl>
      <w:tblPr>
        <w:tblStyle w:val="TableGrid"/>
        <w:tblW w:w="8217" w:type="dxa"/>
        <w:tblLook w:val="04A0" w:firstRow="1" w:lastRow="0" w:firstColumn="1" w:lastColumn="0" w:noHBand="0" w:noVBand="1"/>
      </w:tblPr>
      <w:tblGrid>
        <w:gridCol w:w="1173"/>
        <w:gridCol w:w="1174"/>
        <w:gridCol w:w="1174"/>
        <w:gridCol w:w="1174"/>
        <w:gridCol w:w="1174"/>
        <w:gridCol w:w="1174"/>
        <w:gridCol w:w="1174"/>
      </w:tblGrid>
      <w:tr w:rsidR="00D435A8" w14:paraId="0CC7F318" w14:textId="044C328F" w:rsidTr="00C335BE">
        <w:trPr>
          <w:tblHeader/>
        </w:trPr>
        <w:tc>
          <w:tcPr>
            <w:tcW w:w="11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2885FE" w14:textId="5333450B" w:rsidR="00D435A8" w:rsidRDefault="00D435A8" w:rsidP="00585D47">
            <w:pPr>
              <w:spacing w:line="276" w:lineRule="auto"/>
              <w:jc w:val="center"/>
              <w:rPr>
                <w:b/>
              </w:rPr>
            </w:pPr>
            <w:r>
              <w:rPr>
                <w:b/>
              </w:rPr>
              <w:lastRenderedPageBreak/>
              <w:t>1960s</w:t>
            </w:r>
          </w:p>
        </w:tc>
        <w:tc>
          <w:tcPr>
            <w:tcW w:w="1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A9386B" w14:textId="17DE85AF" w:rsidR="00D435A8" w:rsidRDefault="00D435A8" w:rsidP="00585D47">
            <w:pPr>
              <w:spacing w:line="276" w:lineRule="auto"/>
              <w:jc w:val="center"/>
              <w:rPr>
                <w:b/>
              </w:rPr>
            </w:pPr>
            <w:r>
              <w:rPr>
                <w:b/>
              </w:rPr>
              <w:t>1970s</w:t>
            </w:r>
          </w:p>
        </w:tc>
        <w:tc>
          <w:tcPr>
            <w:tcW w:w="1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E61DDD" w14:textId="0A52CB85" w:rsidR="00D435A8" w:rsidRDefault="00D435A8" w:rsidP="00585D47">
            <w:pPr>
              <w:spacing w:line="276" w:lineRule="auto"/>
              <w:jc w:val="center"/>
              <w:rPr>
                <w:b/>
              </w:rPr>
            </w:pPr>
            <w:r>
              <w:rPr>
                <w:b/>
              </w:rPr>
              <w:t>1980s</w:t>
            </w:r>
          </w:p>
        </w:tc>
        <w:tc>
          <w:tcPr>
            <w:tcW w:w="1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147B95" w14:textId="3C5451BB" w:rsidR="00D435A8" w:rsidRDefault="00D435A8" w:rsidP="00585D47">
            <w:pPr>
              <w:spacing w:line="276" w:lineRule="auto"/>
              <w:jc w:val="center"/>
              <w:rPr>
                <w:b/>
              </w:rPr>
            </w:pPr>
            <w:r>
              <w:rPr>
                <w:b/>
              </w:rPr>
              <w:t>1990s</w:t>
            </w:r>
          </w:p>
        </w:tc>
        <w:tc>
          <w:tcPr>
            <w:tcW w:w="1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5C3DD" w14:textId="3CD0F8BE" w:rsidR="00D435A8" w:rsidRDefault="00D435A8" w:rsidP="00585D47">
            <w:pPr>
              <w:spacing w:line="276" w:lineRule="auto"/>
              <w:jc w:val="center"/>
              <w:rPr>
                <w:b/>
              </w:rPr>
            </w:pPr>
            <w:r>
              <w:rPr>
                <w:b/>
              </w:rPr>
              <w:t>2000s</w:t>
            </w:r>
          </w:p>
        </w:tc>
        <w:tc>
          <w:tcPr>
            <w:tcW w:w="1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CFCC9" w14:textId="62BDF7A1" w:rsidR="00D435A8" w:rsidRDefault="00D435A8" w:rsidP="00585D47">
            <w:pPr>
              <w:spacing w:line="276" w:lineRule="auto"/>
              <w:jc w:val="center"/>
              <w:rPr>
                <w:b/>
              </w:rPr>
            </w:pPr>
            <w:r>
              <w:rPr>
                <w:b/>
              </w:rPr>
              <w:t>2010s</w:t>
            </w:r>
          </w:p>
        </w:tc>
        <w:tc>
          <w:tcPr>
            <w:tcW w:w="1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3C3FBC" w14:textId="09ACAEC1" w:rsidR="00D435A8" w:rsidRDefault="00D435A8" w:rsidP="00585D47">
            <w:pPr>
              <w:spacing w:line="276" w:lineRule="auto"/>
              <w:jc w:val="center"/>
              <w:rPr>
                <w:b/>
              </w:rPr>
            </w:pPr>
            <w:r>
              <w:rPr>
                <w:b/>
              </w:rPr>
              <w:t>2020s</w:t>
            </w:r>
            <w:r w:rsidR="00C335BE">
              <w:rPr>
                <w:b/>
              </w:rPr>
              <w:t xml:space="preserve"> *</w:t>
            </w:r>
          </w:p>
        </w:tc>
      </w:tr>
      <w:tr w:rsidR="00D435A8" w14:paraId="75276FD2" w14:textId="7465FA71" w:rsidTr="00C335BE">
        <w:tc>
          <w:tcPr>
            <w:tcW w:w="1173" w:type="dxa"/>
            <w:tcBorders>
              <w:top w:val="single" w:sz="4" w:space="0" w:color="auto"/>
              <w:left w:val="single" w:sz="4" w:space="0" w:color="auto"/>
              <w:bottom w:val="single" w:sz="4" w:space="0" w:color="auto"/>
              <w:right w:val="single" w:sz="4" w:space="0" w:color="auto"/>
            </w:tcBorders>
            <w:hideMark/>
          </w:tcPr>
          <w:p w14:paraId="6DC5924B" w14:textId="09AB7E64" w:rsidR="00D435A8" w:rsidRDefault="00D435A8" w:rsidP="00585D47">
            <w:pPr>
              <w:tabs>
                <w:tab w:val="left" w:pos="5400"/>
              </w:tabs>
              <w:spacing w:line="276" w:lineRule="auto"/>
              <w:jc w:val="center"/>
            </w:pPr>
            <w:r>
              <w:t>1</w:t>
            </w:r>
          </w:p>
        </w:tc>
        <w:tc>
          <w:tcPr>
            <w:tcW w:w="1174" w:type="dxa"/>
            <w:tcBorders>
              <w:top w:val="single" w:sz="4" w:space="0" w:color="auto"/>
              <w:left w:val="single" w:sz="4" w:space="0" w:color="auto"/>
              <w:bottom w:val="single" w:sz="4" w:space="0" w:color="auto"/>
              <w:right w:val="single" w:sz="4" w:space="0" w:color="auto"/>
            </w:tcBorders>
            <w:hideMark/>
          </w:tcPr>
          <w:p w14:paraId="4F8A3863" w14:textId="2E7BAD26" w:rsidR="00D435A8" w:rsidRDefault="00C335BE" w:rsidP="00585D47">
            <w:pPr>
              <w:tabs>
                <w:tab w:val="left" w:pos="5400"/>
              </w:tabs>
              <w:spacing w:line="276" w:lineRule="auto"/>
              <w:jc w:val="center"/>
            </w:pPr>
            <w:r>
              <w:t>29</w:t>
            </w:r>
          </w:p>
        </w:tc>
        <w:tc>
          <w:tcPr>
            <w:tcW w:w="1174" w:type="dxa"/>
            <w:tcBorders>
              <w:top w:val="single" w:sz="4" w:space="0" w:color="auto"/>
              <w:left w:val="single" w:sz="4" w:space="0" w:color="auto"/>
              <w:bottom w:val="single" w:sz="4" w:space="0" w:color="auto"/>
              <w:right w:val="single" w:sz="4" w:space="0" w:color="auto"/>
            </w:tcBorders>
            <w:hideMark/>
          </w:tcPr>
          <w:p w14:paraId="04A21299" w14:textId="7C5F6D03" w:rsidR="00D435A8" w:rsidRDefault="00C335BE" w:rsidP="00585D47">
            <w:pPr>
              <w:tabs>
                <w:tab w:val="left" w:pos="5400"/>
              </w:tabs>
              <w:spacing w:line="276" w:lineRule="auto"/>
              <w:jc w:val="center"/>
            </w:pPr>
            <w:r>
              <w:t>27</w:t>
            </w:r>
          </w:p>
        </w:tc>
        <w:tc>
          <w:tcPr>
            <w:tcW w:w="1174" w:type="dxa"/>
            <w:tcBorders>
              <w:top w:val="single" w:sz="4" w:space="0" w:color="auto"/>
              <w:left w:val="single" w:sz="4" w:space="0" w:color="auto"/>
              <w:bottom w:val="single" w:sz="4" w:space="0" w:color="auto"/>
              <w:right w:val="single" w:sz="4" w:space="0" w:color="auto"/>
            </w:tcBorders>
            <w:hideMark/>
          </w:tcPr>
          <w:p w14:paraId="58B028E2" w14:textId="65699E95" w:rsidR="00D435A8" w:rsidRDefault="00C335BE" w:rsidP="00585D47">
            <w:pPr>
              <w:tabs>
                <w:tab w:val="left" w:pos="5400"/>
              </w:tabs>
              <w:spacing w:line="276" w:lineRule="auto"/>
              <w:jc w:val="center"/>
            </w:pPr>
            <w:r>
              <w:t>11</w:t>
            </w:r>
          </w:p>
        </w:tc>
        <w:tc>
          <w:tcPr>
            <w:tcW w:w="1174" w:type="dxa"/>
            <w:tcBorders>
              <w:top w:val="single" w:sz="4" w:space="0" w:color="auto"/>
              <w:left w:val="single" w:sz="4" w:space="0" w:color="auto"/>
              <w:bottom w:val="single" w:sz="4" w:space="0" w:color="auto"/>
              <w:right w:val="single" w:sz="4" w:space="0" w:color="auto"/>
            </w:tcBorders>
            <w:hideMark/>
          </w:tcPr>
          <w:p w14:paraId="791D53DE" w14:textId="3E662EE8" w:rsidR="00D435A8" w:rsidRDefault="00C335BE" w:rsidP="00585D47">
            <w:pPr>
              <w:tabs>
                <w:tab w:val="left" w:pos="5400"/>
              </w:tabs>
              <w:spacing w:line="276" w:lineRule="auto"/>
              <w:jc w:val="center"/>
            </w:pPr>
            <w:r>
              <w:t>10</w:t>
            </w:r>
          </w:p>
        </w:tc>
        <w:tc>
          <w:tcPr>
            <w:tcW w:w="1174" w:type="dxa"/>
            <w:tcBorders>
              <w:top w:val="single" w:sz="4" w:space="0" w:color="auto"/>
              <w:left w:val="single" w:sz="4" w:space="0" w:color="auto"/>
              <w:bottom w:val="single" w:sz="4" w:space="0" w:color="auto"/>
              <w:right w:val="single" w:sz="4" w:space="0" w:color="auto"/>
            </w:tcBorders>
          </w:tcPr>
          <w:p w14:paraId="45B01097" w14:textId="71224C06" w:rsidR="00D435A8" w:rsidRDefault="00C335BE" w:rsidP="00585D47">
            <w:pPr>
              <w:tabs>
                <w:tab w:val="left" w:pos="5400"/>
              </w:tabs>
              <w:spacing w:line="276" w:lineRule="auto"/>
              <w:jc w:val="center"/>
            </w:pPr>
            <w:r>
              <w:t>6</w:t>
            </w:r>
          </w:p>
        </w:tc>
        <w:tc>
          <w:tcPr>
            <w:tcW w:w="1174" w:type="dxa"/>
            <w:tcBorders>
              <w:top w:val="single" w:sz="4" w:space="0" w:color="auto"/>
              <w:left w:val="single" w:sz="4" w:space="0" w:color="auto"/>
              <w:bottom w:val="single" w:sz="4" w:space="0" w:color="auto"/>
              <w:right w:val="single" w:sz="4" w:space="0" w:color="auto"/>
            </w:tcBorders>
          </w:tcPr>
          <w:p w14:paraId="0745B7AB" w14:textId="4BCB88E6" w:rsidR="00D435A8" w:rsidRDefault="00C335BE" w:rsidP="00585D47">
            <w:pPr>
              <w:tabs>
                <w:tab w:val="left" w:pos="5400"/>
              </w:tabs>
              <w:spacing w:line="276" w:lineRule="auto"/>
              <w:jc w:val="center"/>
            </w:pPr>
            <w:r>
              <w:t>3</w:t>
            </w:r>
          </w:p>
        </w:tc>
      </w:tr>
    </w:tbl>
    <w:p w14:paraId="35C6A3AC" w14:textId="1948797D" w:rsidR="00C335BE" w:rsidRDefault="00C335BE" w:rsidP="00C335BE">
      <w:r>
        <w:t>*Up to 17 July 2024</w:t>
      </w:r>
    </w:p>
    <w:p w14:paraId="4CC6CB26" w14:textId="77777777" w:rsidR="00585D47" w:rsidRDefault="00585D47" w:rsidP="00C335BE"/>
    <w:p w14:paraId="0E475EC7" w14:textId="030204E6" w:rsidR="00C335BE" w:rsidRDefault="00C335BE" w:rsidP="00C335BE">
      <w:pPr>
        <w:pStyle w:val="ListParagraph"/>
        <w:numPr>
          <w:ilvl w:val="0"/>
          <w:numId w:val="5"/>
        </w:numPr>
      </w:pPr>
      <w:r>
        <w:t xml:space="preserve">A breakdown by </w:t>
      </w:r>
      <w:r>
        <w:t xml:space="preserve">gender </w:t>
      </w:r>
      <w:r>
        <w:t xml:space="preserve">is provided in </w:t>
      </w:r>
      <w:r>
        <w:t xml:space="preserve">the </w:t>
      </w:r>
      <w:r>
        <w:t>table below:</w:t>
      </w:r>
    </w:p>
    <w:tbl>
      <w:tblPr>
        <w:tblStyle w:val="TableGrid"/>
        <w:tblW w:w="8217" w:type="dxa"/>
        <w:tblLook w:val="04A0" w:firstRow="1" w:lastRow="0" w:firstColumn="1" w:lastColumn="0" w:noHBand="0" w:noVBand="1"/>
      </w:tblPr>
      <w:tblGrid>
        <w:gridCol w:w="2646"/>
        <w:gridCol w:w="2648"/>
        <w:gridCol w:w="2923"/>
      </w:tblGrid>
      <w:tr w:rsidR="00C335BE" w14:paraId="376831A6" w14:textId="77777777" w:rsidTr="00C335BE">
        <w:trPr>
          <w:tblHeader/>
        </w:trPr>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4D529C" w14:textId="19E0A023" w:rsidR="00C335BE" w:rsidRDefault="00C335BE" w:rsidP="00585D47">
            <w:pPr>
              <w:spacing w:line="276" w:lineRule="auto"/>
              <w:jc w:val="center"/>
              <w:rPr>
                <w:b/>
              </w:rPr>
            </w:pPr>
            <w:r>
              <w:rPr>
                <w:b/>
              </w:rPr>
              <w:t>Male</w:t>
            </w:r>
          </w:p>
        </w:tc>
        <w:tc>
          <w:tcPr>
            <w:tcW w:w="2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670124" w14:textId="40A5AAD8" w:rsidR="00C335BE" w:rsidRDefault="00C335BE" w:rsidP="00585D47">
            <w:pPr>
              <w:spacing w:line="276" w:lineRule="auto"/>
              <w:jc w:val="center"/>
              <w:rPr>
                <w:b/>
              </w:rPr>
            </w:pPr>
            <w:r>
              <w:rPr>
                <w:b/>
              </w:rPr>
              <w:t>Female</w:t>
            </w:r>
          </w:p>
        </w:tc>
        <w:tc>
          <w:tcPr>
            <w:tcW w:w="2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A38D14" w14:textId="7CB805A1" w:rsidR="00C335BE" w:rsidRDefault="00C335BE" w:rsidP="00585D47">
            <w:pPr>
              <w:spacing w:line="276" w:lineRule="auto"/>
              <w:jc w:val="center"/>
              <w:rPr>
                <w:b/>
              </w:rPr>
            </w:pPr>
            <w:r>
              <w:rPr>
                <w:b/>
              </w:rPr>
              <w:t>Unknown</w:t>
            </w:r>
          </w:p>
        </w:tc>
      </w:tr>
      <w:tr w:rsidR="00C335BE" w14:paraId="7AF62216" w14:textId="77777777" w:rsidTr="00C335BE">
        <w:tc>
          <w:tcPr>
            <w:tcW w:w="2646" w:type="dxa"/>
            <w:tcBorders>
              <w:top w:val="single" w:sz="4" w:space="0" w:color="auto"/>
              <w:left w:val="single" w:sz="4" w:space="0" w:color="auto"/>
              <w:bottom w:val="single" w:sz="4" w:space="0" w:color="auto"/>
              <w:right w:val="single" w:sz="4" w:space="0" w:color="auto"/>
            </w:tcBorders>
            <w:hideMark/>
          </w:tcPr>
          <w:p w14:paraId="33459109" w14:textId="77B8FDA2" w:rsidR="00C335BE" w:rsidRDefault="00C335BE" w:rsidP="00585D47">
            <w:pPr>
              <w:tabs>
                <w:tab w:val="left" w:pos="5400"/>
              </w:tabs>
              <w:spacing w:line="276" w:lineRule="auto"/>
              <w:jc w:val="center"/>
            </w:pPr>
            <w:r>
              <w:t>63</w:t>
            </w:r>
          </w:p>
        </w:tc>
        <w:tc>
          <w:tcPr>
            <w:tcW w:w="2648" w:type="dxa"/>
            <w:tcBorders>
              <w:top w:val="single" w:sz="4" w:space="0" w:color="auto"/>
              <w:left w:val="single" w:sz="4" w:space="0" w:color="auto"/>
              <w:bottom w:val="single" w:sz="4" w:space="0" w:color="auto"/>
              <w:right w:val="single" w:sz="4" w:space="0" w:color="auto"/>
            </w:tcBorders>
            <w:hideMark/>
          </w:tcPr>
          <w:p w14:paraId="0ED9D70C" w14:textId="49E8D688" w:rsidR="00C335BE" w:rsidRDefault="00C335BE" w:rsidP="00585D47">
            <w:pPr>
              <w:tabs>
                <w:tab w:val="left" w:pos="5400"/>
              </w:tabs>
              <w:spacing w:line="276" w:lineRule="auto"/>
              <w:jc w:val="center"/>
            </w:pPr>
            <w:r>
              <w:t>15</w:t>
            </w:r>
          </w:p>
        </w:tc>
        <w:tc>
          <w:tcPr>
            <w:tcW w:w="2923" w:type="dxa"/>
            <w:tcBorders>
              <w:top w:val="single" w:sz="4" w:space="0" w:color="auto"/>
              <w:left w:val="single" w:sz="4" w:space="0" w:color="auto"/>
              <w:bottom w:val="single" w:sz="4" w:space="0" w:color="auto"/>
              <w:right w:val="single" w:sz="4" w:space="0" w:color="auto"/>
            </w:tcBorders>
            <w:hideMark/>
          </w:tcPr>
          <w:p w14:paraId="561B937E" w14:textId="7325425D" w:rsidR="00C335BE" w:rsidRDefault="00C335BE" w:rsidP="00585D47">
            <w:pPr>
              <w:tabs>
                <w:tab w:val="left" w:pos="5400"/>
              </w:tabs>
              <w:spacing w:line="276" w:lineRule="auto"/>
              <w:jc w:val="center"/>
            </w:pPr>
            <w:r>
              <w:t>9</w:t>
            </w:r>
          </w:p>
        </w:tc>
      </w:tr>
    </w:tbl>
    <w:p w14:paraId="64503697" w14:textId="77777777" w:rsidR="00C335BE" w:rsidRDefault="00C335BE" w:rsidP="00C335BE">
      <w:pPr>
        <w:pStyle w:val="ListParagraph"/>
        <w:ind w:left="1080"/>
      </w:pPr>
    </w:p>
    <w:p w14:paraId="3DD024A1" w14:textId="31D7A369" w:rsidR="00C335BE" w:rsidRDefault="00C335BE" w:rsidP="00C335BE">
      <w:pPr>
        <w:pStyle w:val="ListParagraph"/>
        <w:numPr>
          <w:ilvl w:val="0"/>
          <w:numId w:val="5"/>
        </w:numPr>
      </w:pPr>
      <w:r>
        <w:t xml:space="preserve">A breakdown by </w:t>
      </w:r>
      <w:r>
        <w:t xml:space="preserve">ethnicity </w:t>
      </w:r>
      <w:r>
        <w:t xml:space="preserve">is provided in </w:t>
      </w:r>
      <w:r>
        <w:t>the table</w:t>
      </w:r>
      <w:r>
        <w:t xml:space="preserve"> below:</w:t>
      </w:r>
    </w:p>
    <w:tbl>
      <w:tblPr>
        <w:tblStyle w:val="TableGrid"/>
        <w:tblW w:w="8217" w:type="dxa"/>
        <w:tblLook w:val="04A0" w:firstRow="1" w:lastRow="0" w:firstColumn="1" w:lastColumn="0" w:noHBand="0" w:noVBand="1"/>
      </w:tblPr>
      <w:tblGrid>
        <w:gridCol w:w="3964"/>
        <w:gridCol w:w="4253"/>
      </w:tblGrid>
      <w:tr w:rsidR="00C335BE" w14:paraId="0E71A009" w14:textId="77777777" w:rsidTr="00585D47">
        <w:trPr>
          <w:tblHeader/>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1A18F7" w14:textId="7723C8C9" w:rsidR="00C335BE" w:rsidRDefault="00585D47" w:rsidP="00585D47">
            <w:pPr>
              <w:spacing w:line="276" w:lineRule="auto"/>
              <w:jc w:val="center"/>
              <w:rPr>
                <w:b/>
              </w:rPr>
            </w:pPr>
            <w:r>
              <w:rPr>
                <w:b/>
              </w:rPr>
              <w:t>White Northern European</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988D4E" w14:textId="3ABCE301" w:rsidR="00C335BE" w:rsidRDefault="00C335BE" w:rsidP="00585D47">
            <w:pPr>
              <w:spacing w:line="276" w:lineRule="auto"/>
              <w:jc w:val="center"/>
              <w:rPr>
                <w:b/>
              </w:rPr>
            </w:pPr>
            <w:r>
              <w:rPr>
                <w:b/>
              </w:rPr>
              <w:t>Unknown</w:t>
            </w:r>
          </w:p>
        </w:tc>
      </w:tr>
      <w:tr w:rsidR="00C335BE" w14:paraId="40313161" w14:textId="77777777" w:rsidTr="00585D47">
        <w:tc>
          <w:tcPr>
            <w:tcW w:w="3964" w:type="dxa"/>
            <w:tcBorders>
              <w:top w:val="single" w:sz="4" w:space="0" w:color="auto"/>
              <w:left w:val="single" w:sz="4" w:space="0" w:color="auto"/>
              <w:bottom w:val="single" w:sz="4" w:space="0" w:color="auto"/>
              <w:right w:val="single" w:sz="4" w:space="0" w:color="auto"/>
            </w:tcBorders>
            <w:hideMark/>
          </w:tcPr>
          <w:p w14:paraId="381543AD" w14:textId="39BE8ED8" w:rsidR="00C335BE" w:rsidRDefault="00585D47" w:rsidP="00585D47">
            <w:pPr>
              <w:tabs>
                <w:tab w:val="left" w:pos="5400"/>
              </w:tabs>
              <w:spacing w:line="276" w:lineRule="auto"/>
              <w:jc w:val="center"/>
            </w:pPr>
            <w:r>
              <w:t>34</w:t>
            </w:r>
          </w:p>
        </w:tc>
        <w:tc>
          <w:tcPr>
            <w:tcW w:w="4253" w:type="dxa"/>
            <w:tcBorders>
              <w:top w:val="single" w:sz="4" w:space="0" w:color="auto"/>
              <w:left w:val="single" w:sz="4" w:space="0" w:color="auto"/>
              <w:bottom w:val="single" w:sz="4" w:space="0" w:color="auto"/>
              <w:right w:val="single" w:sz="4" w:space="0" w:color="auto"/>
            </w:tcBorders>
            <w:hideMark/>
          </w:tcPr>
          <w:p w14:paraId="6E294461" w14:textId="759F5620" w:rsidR="00C335BE" w:rsidRDefault="00585D47" w:rsidP="00585D47">
            <w:pPr>
              <w:tabs>
                <w:tab w:val="left" w:pos="5400"/>
              </w:tabs>
              <w:spacing w:line="276" w:lineRule="auto"/>
              <w:jc w:val="center"/>
            </w:pPr>
            <w:r>
              <w:t>53</w:t>
            </w:r>
          </w:p>
        </w:tc>
      </w:tr>
    </w:tbl>
    <w:p w14:paraId="5CA8C323" w14:textId="77777777" w:rsidR="001238B1" w:rsidRPr="001238B1" w:rsidRDefault="001238B1" w:rsidP="001238B1"/>
    <w:p w14:paraId="481DD8DB" w14:textId="2E5D30CE" w:rsidR="001238B1" w:rsidRDefault="007C170C" w:rsidP="001238B1">
      <w:pPr>
        <w:pStyle w:val="Heading2"/>
        <w:rPr>
          <w:rFonts w:eastAsia="Times New Roman"/>
          <w:color w:val="000000"/>
        </w:rPr>
      </w:pPr>
      <w:r>
        <w:rPr>
          <w:rFonts w:eastAsia="Times New Roman"/>
        </w:rPr>
        <w:t xml:space="preserve">Q2. </w:t>
      </w:r>
      <w:r w:rsidR="001238B1">
        <w:rPr>
          <w:rFonts w:eastAsia="Times New Roman"/>
        </w:rPr>
        <w:t>How many of these unidentified persons cases are represented on the National Crime Agency’s </w:t>
      </w:r>
      <w:r w:rsidR="001238B1">
        <w:rPr>
          <w:rFonts w:eastAsia="Times New Roman"/>
          <w:color w:val="000000"/>
        </w:rPr>
        <w:t>database (</w:t>
      </w:r>
      <w:hyperlink r:id="rId12" w:history="1">
        <w:r w:rsidR="001238B1">
          <w:rPr>
            <w:rStyle w:val="Hyperlink"/>
            <w:rFonts w:eastAsia="Times New Roman" w:cs="Arial"/>
            <w:color w:val="000000"/>
          </w:rPr>
          <w:t>found here</w:t>
        </w:r>
      </w:hyperlink>
      <w:r w:rsidR="001238B1">
        <w:rPr>
          <w:rFonts w:eastAsia="Times New Roman"/>
          <w:color w:val="000000"/>
        </w:rPr>
        <w:t>).</w:t>
      </w:r>
    </w:p>
    <w:p w14:paraId="1B7E7509" w14:textId="06A6532D" w:rsidR="005D599D" w:rsidRPr="005D599D" w:rsidRDefault="005D599D" w:rsidP="005D599D">
      <w:r>
        <w:t xml:space="preserve">I have interpreted this question to be a follow on from Q1 and therefore ‘cases’ has been interpreted to be interchangeable with the term ‘unidentified bodies or remains’. </w:t>
      </w:r>
    </w:p>
    <w:p w14:paraId="58F8779D" w14:textId="07E45FF7" w:rsidR="00463E1F" w:rsidRPr="00463E1F" w:rsidRDefault="005D599D" w:rsidP="00463E1F">
      <w:pPr>
        <w:spacing w:before="100" w:beforeAutospacing="1" w:after="100" w:afterAutospacing="1"/>
      </w:pPr>
      <w:r>
        <w:t xml:space="preserve">On that basis, there are presently </w:t>
      </w:r>
      <w:r w:rsidR="00463E1F">
        <w:t xml:space="preserve">22 </w:t>
      </w:r>
      <w:r>
        <w:t xml:space="preserve">related </w:t>
      </w:r>
      <w:r w:rsidR="00463E1F">
        <w:t xml:space="preserve">cases on the </w:t>
      </w:r>
      <w:r w:rsidR="00463E1F">
        <w:rPr>
          <w:rFonts w:eastAsia="Times New Roman"/>
        </w:rPr>
        <w:t>National Crime Agency’s </w:t>
      </w:r>
      <w:r w:rsidR="00463E1F">
        <w:rPr>
          <w:rFonts w:eastAsia="Times New Roman"/>
          <w:color w:val="000000"/>
        </w:rPr>
        <w:t>database</w:t>
      </w:r>
      <w:r w:rsidR="00463E1F">
        <w:rPr>
          <w:rFonts w:eastAsia="Times New Roman"/>
          <w:color w:val="000000"/>
        </w:rPr>
        <w:t>.</w:t>
      </w:r>
    </w:p>
    <w:p w14:paraId="790D7C5F" w14:textId="77777777" w:rsidR="007C170C" w:rsidRDefault="007C170C" w:rsidP="001238B1">
      <w:pPr>
        <w:pStyle w:val="Heading2"/>
        <w:rPr>
          <w:rFonts w:eastAsia="Times New Roman"/>
          <w:color w:val="000000"/>
        </w:rPr>
      </w:pPr>
    </w:p>
    <w:p w14:paraId="3BA186DE" w14:textId="75A27DF9" w:rsidR="001238B1" w:rsidRDefault="007C170C" w:rsidP="001238B1">
      <w:pPr>
        <w:pStyle w:val="Heading2"/>
        <w:rPr>
          <w:rFonts w:eastAsia="Times New Roman"/>
        </w:rPr>
      </w:pPr>
      <w:r>
        <w:rPr>
          <w:rFonts w:eastAsia="Times New Roman"/>
          <w:color w:val="000000"/>
        </w:rPr>
        <w:t xml:space="preserve">Q3. </w:t>
      </w:r>
      <w:r w:rsidR="001238B1">
        <w:rPr>
          <w:rFonts w:eastAsia="Times New Roman"/>
          <w:color w:val="000000"/>
        </w:rPr>
        <w:t>How many of these unidentified persons have facial reconstructions or facial photos associated with them.</w:t>
      </w:r>
    </w:p>
    <w:p w14:paraId="780D119D" w14:textId="74A27E3C" w:rsidR="001238B1" w:rsidRDefault="00463E1F" w:rsidP="001238B1">
      <w:r>
        <w:t xml:space="preserve">There are </w:t>
      </w:r>
      <w:r>
        <w:t>four</w:t>
      </w:r>
      <w:r>
        <w:t xml:space="preserve"> </w:t>
      </w:r>
      <w:r>
        <w:t xml:space="preserve">associated </w:t>
      </w:r>
      <w:r>
        <w:t>facial reconstructions</w:t>
      </w:r>
      <w:r>
        <w:t xml:space="preserve">. </w:t>
      </w:r>
    </w:p>
    <w:p w14:paraId="0AD50336" w14:textId="77777777" w:rsidR="00463E1F" w:rsidRPr="001238B1" w:rsidRDefault="00463E1F" w:rsidP="001238B1"/>
    <w:p w14:paraId="122F8F67" w14:textId="2AFECCAD" w:rsidR="001238B1" w:rsidRDefault="007C170C" w:rsidP="001238B1">
      <w:pPr>
        <w:pStyle w:val="Heading2"/>
        <w:rPr>
          <w:rFonts w:eastAsia="Times New Roman"/>
          <w:color w:val="000000"/>
        </w:rPr>
      </w:pPr>
      <w:r>
        <w:rPr>
          <w:rFonts w:eastAsia="Times New Roman"/>
          <w:color w:val="000000"/>
        </w:rPr>
        <w:t xml:space="preserve">Q4. </w:t>
      </w:r>
      <w:r w:rsidR="001238B1">
        <w:rPr>
          <w:rFonts w:eastAsia="Times New Roman"/>
          <w:color w:val="000000"/>
        </w:rPr>
        <w:t>How many of these unidentified persons have DNA associated with them, broken down according to testing status.</w:t>
      </w:r>
    </w:p>
    <w:p w14:paraId="2935894A" w14:textId="77777777" w:rsidR="00463E1F" w:rsidRDefault="00463E1F" w:rsidP="00463E1F">
      <w:r>
        <w:t xml:space="preserve">13 cases have DNA associated with them. </w:t>
      </w:r>
    </w:p>
    <w:p w14:paraId="64ADB52E" w14:textId="63254E31" w:rsidR="00463E1F" w:rsidRDefault="00463E1F" w:rsidP="00463E1F">
      <w:r>
        <w:lastRenderedPageBreak/>
        <w:t>These are unable to be broken down by testing status.</w:t>
      </w:r>
    </w:p>
    <w:p w14:paraId="43309C1F" w14:textId="77777777" w:rsidR="00463E1F" w:rsidRPr="00463E1F" w:rsidRDefault="00463E1F" w:rsidP="00463E1F"/>
    <w:p w14:paraId="459D17FE" w14:textId="5D31C34C" w:rsidR="001238B1" w:rsidRDefault="007C170C" w:rsidP="001238B1">
      <w:pPr>
        <w:pStyle w:val="Heading2"/>
        <w:rPr>
          <w:rFonts w:eastAsia="Times New Roman"/>
          <w:color w:val="000000"/>
        </w:rPr>
      </w:pPr>
      <w:r>
        <w:rPr>
          <w:rFonts w:eastAsia="Times New Roman"/>
          <w:color w:val="000000"/>
        </w:rPr>
        <w:t xml:space="preserve">Q5. </w:t>
      </w:r>
      <w:r w:rsidR="001238B1">
        <w:rPr>
          <w:rFonts w:eastAsia="Times New Roman"/>
          <w:color w:val="000000"/>
        </w:rPr>
        <w:t>How many of these unidentified persons are assigned to an investigator.</w:t>
      </w:r>
    </w:p>
    <w:p w14:paraId="5FEFA183" w14:textId="0B69566D" w:rsidR="00463E1F" w:rsidRDefault="00463E1F" w:rsidP="00463E1F">
      <w:r>
        <w:t>All are currently overseen by an SIO (Senior Investigating Officer)</w:t>
      </w:r>
    </w:p>
    <w:p w14:paraId="6C58DA0D" w14:textId="77777777" w:rsidR="00463E1F" w:rsidRPr="00463E1F" w:rsidRDefault="00463E1F" w:rsidP="00463E1F"/>
    <w:p w14:paraId="36AE403E" w14:textId="1F76E5AA" w:rsidR="001238B1" w:rsidRDefault="007C170C" w:rsidP="001238B1">
      <w:pPr>
        <w:pStyle w:val="Heading2"/>
        <w:rPr>
          <w:rFonts w:eastAsia="Times New Roman"/>
          <w:color w:val="000000"/>
        </w:rPr>
      </w:pPr>
      <w:r>
        <w:rPr>
          <w:rFonts w:eastAsia="Times New Roman"/>
          <w:color w:val="000000"/>
        </w:rPr>
        <w:t xml:space="preserve">Q6. </w:t>
      </w:r>
      <w:r w:rsidR="001238B1">
        <w:rPr>
          <w:rFonts w:eastAsia="Times New Roman"/>
          <w:color w:val="000000"/>
        </w:rPr>
        <w:t>How many of the investigations into identifying these bodies or sets of remains would be considered “cold” i.e., all viable leads in the investigation have been exhausted and the Senior Investigating Officer (SIO) considers there is nothing further that can be progressed in the investigation at that time.</w:t>
      </w:r>
    </w:p>
    <w:p w14:paraId="44B89129" w14:textId="77777777" w:rsidR="00463E1F" w:rsidRDefault="00463E1F" w:rsidP="00463E1F">
      <w:r>
        <w:t>Unidentified remains are not in a current review cycle.</w:t>
      </w:r>
    </w:p>
    <w:p w14:paraId="13AF1306" w14:textId="578C8434" w:rsidR="00463E1F" w:rsidRDefault="00463E1F" w:rsidP="00463E1F">
      <w:r>
        <w:t xml:space="preserve">Each investigation will be reviewed should new information pertaining to the investigation comes to light. </w:t>
      </w:r>
    </w:p>
    <w:p w14:paraId="17693A3D" w14:textId="77777777" w:rsidR="00463E1F" w:rsidRPr="00463E1F" w:rsidRDefault="00463E1F" w:rsidP="00463E1F"/>
    <w:p w14:paraId="55E3639D" w14:textId="15479C28" w:rsidR="001238B1" w:rsidRDefault="007C170C" w:rsidP="001238B1">
      <w:pPr>
        <w:pStyle w:val="Heading2"/>
        <w:rPr>
          <w:rFonts w:eastAsia="Times New Roman"/>
        </w:rPr>
      </w:pPr>
      <w:r>
        <w:rPr>
          <w:rFonts w:eastAsia="Times New Roman"/>
          <w:color w:val="000000"/>
        </w:rPr>
        <w:t xml:space="preserve">Q7. </w:t>
      </w:r>
      <w:r w:rsidR="001238B1">
        <w:rPr>
          <w:rFonts w:eastAsia="Times New Roman"/>
          <w:color w:val="000000"/>
        </w:rPr>
        <w:t>Whether you currently engaging with any charities, universities, or other organisations (e.g., Locate International, Missing People) to further investigation of unidentified persons cases.</w:t>
      </w:r>
      <w:r w:rsidR="001238B1">
        <w:rPr>
          <w:rFonts w:eastAsia="Times New Roman"/>
        </w:rPr>
        <w:t> </w:t>
      </w:r>
    </w:p>
    <w:p w14:paraId="3DCE3493" w14:textId="06235F55" w:rsidR="00463E1F" w:rsidRDefault="00463E1F" w:rsidP="00463E1F">
      <w:r>
        <w:t xml:space="preserve">Police Scotland engage with various </w:t>
      </w:r>
      <w:r w:rsidR="005D599D">
        <w:t xml:space="preserve">specialist and academic </w:t>
      </w:r>
      <w:r>
        <w:t xml:space="preserve">partner organisations in relation to missing persons </w:t>
      </w:r>
      <w:r w:rsidR="005D599D">
        <w:t xml:space="preserve">as well as </w:t>
      </w:r>
      <w:r>
        <w:t>other police forces.</w:t>
      </w:r>
    </w:p>
    <w:p w14:paraId="2AC3B057" w14:textId="0229D755" w:rsidR="00463E1F" w:rsidRDefault="00463E1F" w:rsidP="00463E1F">
      <w:pPr>
        <w:ind w:left="-50"/>
      </w:pPr>
      <w:r>
        <w:t>The</w:t>
      </w:r>
      <w:r w:rsidR="001F3219">
        <w:t xml:space="preserve"> utilisation of </w:t>
      </w:r>
      <w:r>
        <w:t>partnership relationship(s) is at the discretion of the SIO in overall charge of each investigation.</w:t>
      </w:r>
    </w:p>
    <w:p w14:paraId="4DE20681" w14:textId="77777777" w:rsidR="00463E1F" w:rsidRDefault="00463E1F" w:rsidP="001238B1">
      <w:pPr>
        <w:pStyle w:val="Heading2"/>
        <w:rPr>
          <w:rFonts w:eastAsia="Times New Roman"/>
        </w:rPr>
      </w:pPr>
    </w:p>
    <w:p w14:paraId="34BDABB8" w14:textId="485C7570" w:rsidR="00255F1E" w:rsidRPr="00B11A55" w:rsidRDefault="007C170C" w:rsidP="001238B1">
      <w:pPr>
        <w:pStyle w:val="Heading2"/>
      </w:pPr>
      <w:r>
        <w:rPr>
          <w:rFonts w:eastAsia="Times New Roman"/>
        </w:rPr>
        <w:t xml:space="preserve">Q8. </w:t>
      </w:r>
      <w:r w:rsidR="001238B1">
        <w:rPr>
          <w:rFonts w:eastAsia="Times New Roman"/>
        </w:rPr>
        <w:t>Your current status with regards to the use of forensic/investigative genetic genealogy (FIGG) to investigate unidentified persons cases</w:t>
      </w:r>
    </w:p>
    <w:p w14:paraId="5B3DA335" w14:textId="106874BB" w:rsidR="00463E1F" w:rsidRDefault="005D599D" w:rsidP="00463E1F">
      <w:r>
        <w:t xml:space="preserve">I understand the use of </w:t>
      </w:r>
      <w:r w:rsidR="00463E1F">
        <w:t>FIGG</w:t>
      </w:r>
      <w:r w:rsidR="001F3219">
        <w:t xml:space="preserve"> in Missing person cases </w:t>
      </w:r>
      <w:r w:rsidR="00463E1F">
        <w:t xml:space="preserve"> </w:t>
      </w:r>
      <w:r>
        <w:t xml:space="preserve">is still at </w:t>
      </w:r>
      <w:r w:rsidR="007C170C">
        <w:t>a</w:t>
      </w:r>
      <w:r>
        <w:t xml:space="preserve"> </w:t>
      </w:r>
      <w:r w:rsidR="00463E1F">
        <w:t>pilot</w:t>
      </w:r>
      <w:r>
        <w:t xml:space="preserve"> stage so no definitive </w:t>
      </w:r>
      <w:r w:rsidR="007C170C">
        <w:t>‘</w:t>
      </w:r>
      <w:r>
        <w:t>status</w:t>
      </w:r>
      <w:r w:rsidR="007C170C">
        <w:t>’</w:t>
      </w:r>
      <w:r>
        <w:t xml:space="preserve"> can be established at this time. </w:t>
      </w:r>
      <w:r w:rsidR="00463E1F">
        <w:t xml:space="preserve"> </w:t>
      </w:r>
      <w:r w:rsidR="001F3219" w:rsidRPr="001F3219">
        <w:t>As such, in terms of Section 17 of the Freedom of Information (Scotland) Act 2002, this represents a notice that the information requested is not held by Police Scotland.</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427AF27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638D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1607A3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638D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2067098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638D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7840025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638D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3620C0E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638D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0590998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638D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3A9C"/>
    <w:multiLevelType w:val="hybridMultilevel"/>
    <w:tmpl w:val="3BC666E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C43AA2"/>
    <w:multiLevelType w:val="hybridMultilevel"/>
    <w:tmpl w:val="2DA8FD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C093239"/>
    <w:multiLevelType w:val="hybridMultilevel"/>
    <w:tmpl w:val="01E050A2"/>
    <w:lvl w:ilvl="0" w:tplc="8DAC6D1A">
      <w:start w:val="196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4C0B80"/>
    <w:multiLevelType w:val="hybridMultilevel"/>
    <w:tmpl w:val="3BC666EE"/>
    <w:lvl w:ilvl="0" w:tplc="DACA0E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EC1338"/>
    <w:multiLevelType w:val="multilevel"/>
    <w:tmpl w:val="05B2FE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AF94B29"/>
    <w:multiLevelType w:val="hybridMultilevel"/>
    <w:tmpl w:val="76DE9870"/>
    <w:lvl w:ilvl="0" w:tplc="68448DD4">
      <w:start w:val="196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6"/>
  </w:num>
  <w:num w:numId="2" w16cid:durableId="9565220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5384122">
    <w:abstractNumId w:val="2"/>
  </w:num>
  <w:num w:numId="4" w16cid:durableId="1000503612">
    <w:abstractNumId w:val="5"/>
  </w:num>
  <w:num w:numId="5" w16cid:durableId="1106924872">
    <w:abstractNumId w:val="3"/>
  </w:num>
  <w:num w:numId="6" w16cid:durableId="846406865">
    <w:abstractNumId w:val="0"/>
  </w:num>
  <w:num w:numId="7" w16cid:durableId="13761533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62E2"/>
    <w:rsid w:val="00043583"/>
    <w:rsid w:val="00090F3B"/>
    <w:rsid w:val="000E2F19"/>
    <w:rsid w:val="000E6526"/>
    <w:rsid w:val="001238B1"/>
    <w:rsid w:val="00141533"/>
    <w:rsid w:val="00167528"/>
    <w:rsid w:val="00195CC4"/>
    <w:rsid w:val="001F3219"/>
    <w:rsid w:val="00207326"/>
    <w:rsid w:val="00253DF6"/>
    <w:rsid w:val="00255F1E"/>
    <w:rsid w:val="00332319"/>
    <w:rsid w:val="0036503B"/>
    <w:rsid w:val="003D6D03"/>
    <w:rsid w:val="003E12CA"/>
    <w:rsid w:val="004010DC"/>
    <w:rsid w:val="004341F0"/>
    <w:rsid w:val="00456324"/>
    <w:rsid w:val="00463E1F"/>
    <w:rsid w:val="00475460"/>
    <w:rsid w:val="00490317"/>
    <w:rsid w:val="00491644"/>
    <w:rsid w:val="00496A08"/>
    <w:rsid w:val="004E1605"/>
    <w:rsid w:val="004F653C"/>
    <w:rsid w:val="00540A52"/>
    <w:rsid w:val="00557306"/>
    <w:rsid w:val="00585D47"/>
    <w:rsid w:val="005D599D"/>
    <w:rsid w:val="00645CFA"/>
    <w:rsid w:val="006D5799"/>
    <w:rsid w:val="00743BB0"/>
    <w:rsid w:val="00750D83"/>
    <w:rsid w:val="00752ED6"/>
    <w:rsid w:val="00785DBC"/>
    <w:rsid w:val="00793DD5"/>
    <w:rsid w:val="007C170C"/>
    <w:rsid w:val="007D55F6"/>
    <w:rsid w:val="007F490F"/>
    <w:rsid w:val="0086779C"/>
    <w:rsid w:val="00874BFD"/>
    <w:rsid w:val="008964EF"/>
    <w:rsid w:val="008D5498"/>
    <w:rsid w:val="008F4C52"/>
    <w:rsid w:val="00915E01"/>
    <w:rsid w:val="009631A4"/>
    <w:rsid w:val="00977296"/>
    <w:rsid w:val="00A25E93"/>
    <w:rsid w:val="00A320FF"/>
    <w:rsid w:val="00A70AC0"/>
    <w:rsid w:val="00A84EA9"/>
    <w:rsid w:val="00AC443C"/>
    <w:rsid w:val="00B11A55"/>
    <w:rsid w:val="00B17211"/>
    <w:rsid w:val="00B461B2"/>
    <w:rsid w:val="00B629AC"/>
    <w:rsid w:val="00B654B6"/>
    <w:rsid w:val="00B71B3C"/>
    <w:rsid w:val="00BC389E"/>
    <w:rsid w:val="00BE1888"/>
    <w:rsid w:val="00BE3E74"/>
    <w:rsid w:val="00BF6B81"/>
    <w:rsid w:val="00C077A8"/>
    <w:rsid w:val="00C14FF4"/>
    <w:rsid w:val="00C335BE"/>
    <w:rsid w:val="00C606A2"/>
    <w:rsid w:val="00C63872"/>
    <w:rsid w:val="00C84948"/>
    <w:rsid w:val="00CB3707"/>
    <w:rsid w:val="00CF1111"/>
    <w:rsid w:val="00D05706"/>
    <w:rsid w:val="00D27DC5"/>
    <w:rsid w:val="00D435A8"/>
    <w:rsid w:val="00D47E36"/>
    <w:rsid w:val="00D638D0"/>
    <w:rsid w:val="00D64D5A"/>
    <w:rsid w:val="00E55D79"/>
    <w:rsid w:val="00E76C28"/>
    <w:rsid w:val="00EE2373"/>
    <w:rsid w:val="00EF4761"/>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Spacing">
    <w:name w:val="No Spacing"/>
    <w:qFormat/>
    <w:rsid w:val="00BE3E74"/>
    <w:pPr>
      <w:spacing w:before="0" w:after="0" w:line="240" w:lineRule="auto"/>
    </w:pPr>
    <w:rPr>
      <w:rFonts w:asciiTheme="minorHAnsi" w:hAnsiTheme="minorHAnsi" w:cstheme="minorBidi"/>
      <w:sz w:val="22"/>
      <w:szCs w:val="22"/>
    </w:rPr>
  </w:style>
  <w:style w:type="character" w:customStyle="1" w:styleId="apple-tab-span">
    <w:name w:val="apple-tab-span"/>
    <w:basedOn w:val="DefaultParagraphFont"/>
    <w:rsid w:val="00BE3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0573">
      <w:bodyDiv w:val="1"/>
      <w:marLeft w:val="0"/>
      <w:marRight w:val="0"/>
      <w:marTop w:val="0"/>
      <w:marBottom w:val="0"/>
      <w:divBdr>
        <w:top w:val="none" w:sz="0" w:space="0" w:color="auto"/>
        <w:left w:val="none" w:sz="0" w:space="0" w:color="auto"/>
        <w:bottom w:val="none" w:sz="0" w:space="0" w:color="auto"/>
        <w:right w:val="none" w:sz="0" w:space="0" w:color="auto"/>
      </w:divBdr>
    </w:div>
    <w:div w:id="140275841">
      <w:bodyDiv w:val="1"/>
      <w:marLeft w:val="0"/>
      <w:marRight w:val="0"/>
      <w:marTop w:val="0"/>
      <w:marBottom w:val="0"/>
      <w:divBdr>
        <w:top w:val="none" w:sz="0" w:space="0" w:color="auto"/>
        <w:left w:val="none" w:sz="0" w:space="0" w:color="auto"/>
        <w:bottom w:val="none" w:sz="0" w:space="0" w:color="auto"/>
        <w:right w:val="none" w:sz="0" w:space="0" w:color="auto"/>
      </w:divBdr>
    </w:div>
    <w:div w:id="165095126">
      <w:bodyDiv w:val="1"/>
      <w:marLeft w:val="0"/>
      <w:marRight w:val="0"/>
      <w:marTop w:val="0"/>
      <w:marBottom w:val="0"/>
      <w:divBdr>
        <w:top w:val="none" w:sz="0" w:space="0" w:color="auto"/>
        <w:left w:val="none" w:sz="0" w:space="0" w:color="auto"/>
        <w:bottom w:val="none" w:sz="0" w:space="0" w:color="auto"/>
        <w:right w:val="none" w:sz="0" w:space="0" w:color="auto"/>
      </w:divBdr>
    </w:div>
    <w:div w:id="413362696">
      <w:bodyDiv w:val="1"/>
      <w:marLeft w:val="0"/>
      <w:marRight w:val="0"/>
      <w:marTop w:val="0"/>
      <w:marBottom w:val="0"/>
      <w:divBdr>
        <w:top w:val="none" w:sz="0" w:space="0" w:color="auto"/>
        <w:left w:val="none" w:sz="0" w:space="0" w:color="auto"/>
        <w:bottom w:val="none" w:sz="0" w:space="0" w:color="auto"/>
        <w:right w:val="none" w:sz="0" w:space="0" w:color="auto"/>
      </w:divBdr>
    </w:div>
    <w:div w:id="1093164725">
      <w:bodyDiv w:val="1"/>
      <w:marLeft w:val="0"/>
      <w:marRight w:val="0"/>
      <w:marTop w:val="0"/>
      <w:marBottom w:val="0"/>
      <w:divBdr>
        <w:top w:val="none" w:sz="0" w:space="0" w:color="auto"/>
        <w:left w:val="none" w:sz="0" w:space="0" w:color="auto"/>
        <w:bottom w:val="none" w:sz="0" w:space="0" w:color="auto"/>
        <w:right w:val="none" w:sz="0" w:space="0" w:color="auto"/>
      </w:divBdr>
    </w:div>
    <w:div w:id="1100685349">
      <w:bodyDiv w:val="1"/>
      <w:marLeft w:val="0"/>
      <w:marRight w:val="0"/>
      <w:marTop w:val="0"/>
      <w:marBottom w:val="0"/>
      <w:divBdr>
        <w:top w:val="none" w:sz="0" w:space="0" w:color="auto"/>
        <w:left w:val="none" w:sz="0" w:space="0" w:color="auto"/>
        <w:bottom w:val="none" w:sz="0" w:space="0" w:color="auto"/>
        <w:right w:val="none" w:sz="0" w:space="0" w:color="auto"/>
      </w:divBdr>
    </w:div>
    <w:div w:id="1450969158">
      <w:bodyDiv w:val="1"/>
      <w:marLeft w:val="0"/>
      <w:marRight w:val="0"/>
      <w:marTop w:val="0"/>
      <w:marBottom w:val="0"/>
      <w:divBdr>
        <w:top w:val="none" w:sz="0" w:space="0" w:color="auto"/>
        <w:left w:val="none" w:sz="0" w:space="0" w:color="auto"/>
        <w:bottom w:val="none" w:sz="0" w:space="0" w:color="auto"/>
        <w:right w:val="none" w:sz="0" w:space="0" w:color="auto"/>
      </w:divBdr>
    </w:div>
    <w:div w:id="1640459327">
      <w:bodyDiv w:val="1"/>
      <w:marLeft w:val="0"/>
      <w:marRight w:val="0"/>
      <w:marTop w:val="0"/>
      <w:marBottom w:val="0"/>
      <w:divBdr>
        <w:top w:val="none" w:sz="0" w:space="0" w:color="auto"/>
        <w:left w:val="none" w:sz="0" w:space="0" w:color="auto"/>
        <w:bottom w:val="none" w:sz="0" w:space="0" w:color="auto"/>
        <w:right w:val="none" w:sz="0" w:space="0" w:color="auto"/>
      </w:divBdr>
    </w:div>
    <w:div w:id="1829201974">
      <w:bodyDiv w:val="1"/>
      <w:marLeft w:val="0"/>
      <w:marRight w:val="0"/>
      <w:marTop w:val="0"/>
      <w:marBottom w:val="0"/>
      <w:divBdr>
        <w:top w:val="none" w:sz="0" w:space="0" w:color="auto"/>
        <w:left w:val="none" w:sz="0" w:space="0" w:color="auto"/>
        <w:bottom w:val="none" w:sz="0" w:space="0" w:color="auto"/>
        <w:right w:val="none" w:sz="0" w:space="0" w:color="auto"/>
      </w:divBdr>
    </w:div>
    <w:div w:id="203846264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gbr01.safelinks.protection.outlook.com/?url=https%3A%2F%2Fmissingpersons.police.uk%2Fen-gb%2Fcase-search%2F%3FsetPerPage%3D100&amp;data=05%7C02%7Cfoi%40scotland.police.uk%7C41ac2e92071a4de6cf7208dc905c568e%7C6795c5d3c94b497a865c4c343e4cf141%7C0%7C0%7C638543973465418050%7CUnknown%7CTWFpbGZsb3d8eyJWIjoiMC4wLjAwMDAiLCJQIjoiV2luMzIiLCJBTiI6Ik1haWwiLCJXVCI6Mn0%3D%7C0%7C%7C%7C&amp;sdata=m06ah67GPulPjeMRUn15TE2dPzmAWbhyCFShHMLMqmI%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nquiries@itspublicknowledge.inf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spublicknowledge.info/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4.xml><?xml version="1.0" encoding="utf-8"?>
<ds:datastoreItem xmlns:ds="http://schemas.openxmlformats.org/officeDocument/2006/customXml" ds:itemID="{104BD74C-5DA7-4E17-8AA6-E3B0AB552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886</Words>
  <Characters>5055</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2024-07-25T12:31:00Z</dcterms:created>
  <dcterms:modified xsi:type="dcterms:W3CDTF">2024-07-25T12:31:00Z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