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EB8E967" w14:textId="77777777" w:rsidTr="00540A52">
        <w:trPr>
          <w:trHeight w:val="2552"/>
          <w:tblHeader/>
        </w:trPr>
        <w:tc>
          <w:tcPr>
            <w:tcW w:w="2269" w:type="dxa"/>
          </w:tcPr>
          <w:p w14:paraId="5979898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3E4672" wp14:editId="642134CA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69D8C8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5260A3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F639A28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16B94">
              <w:t>-1288</w:t>
            </w:r>
          </w:p>
          <w:p w14:paraId="4B1DBBC2" w14:textId="77777777" w:rsidR="00B17211" w:rsidRDefault="00456324" w:rsidP="00B16B9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6B94">
              <w:t xml:space="preserve">13 </w:t>
            </w:r>
            <w:r w:rsidR="00EE2373">
              <w:t>June</w:t>
            </w:r>
            <w:r>
              <w:t xml:space="preserve"> 2023</w:t>
            </w:r>
          </w:p>
        </w:tc>
      </w:tr>
    </w:tbl>
    <w:p w14:paraId="26DEEBC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084FEA" w14:textId="77777777" w:rsidR="00B16B94" w:rsidRDefault="00B16B94" w:rsidP="00B16B94">
      <w:pPr>
        <w:pStyle w:val="Heading2"/>
      </w:pPr>
      <w:r>
        <w:t>Can you provide the annual data (from 2015 to 2022) for each of the following hate crime strands disaggregated by sex of the a) victim, and b) perpetrators: Race hate crime (broken down by ethnicity) &amp; Religion hate crime (against Muslims).</w:t>
      </w:r>
    </w:p>
    <w:p w14:paraId="46EEB24D" w14:textId="77777777" w:rsidR="00994BCB" w:rsidRPr="0030559E" w:rsidRDefault="00994BCB" w:rsidP="00994BCB">
      <w:r w:rsidRPr="0030559E">
        <w:t xml:space="preserve">To provide some general context, Police Scotland defines a </w:t>
      </w:r>
      <w:r w:rsidRPr="0030559E">
        <w:rPr>
          <w:b/>
          <w:bCs/>
        </w:rPr>
        <w:t xml:space="preserve">hate incident </w:t>
      </w:r>
      <w:r w:rsidRPr="0030559E">
        <w:t>as ‘any incident which is perceived by the victim or any other person to be motivated (wholly or partly) by malice and ill-will towards a social group but which does not constitute a criminal offence.’</w:t>
      </w:r>
    </w:p>
    <w:p w14:paraId="4E3B1C33" w14:textId="77777777" w:rsidR="00994BCB" w:rsidRPr="0030559E" w:rsidRDefault="00994BCB" w:rsidP="00994BCB">
      <w:r w:rsidRPr="0030559E">
        <w:t xml:space="preserve">Police Scotland defines a </w:t>
      </w:r>
      <w:r w:rsidRPr="0030559E">
        <w:rPr>
          <w:b/>
          <w:bCs/>
        </w:rPr>
        <w:t xml:space="preserve">hate crime </w:t>
      </w:r>
      <w:r w:rsidRPr="0030559E">
        <w:t>as, ‘any crime which is perceived by the victim or any other person, to be motivated (wholly or partly) by malice and ill-will towards a social group.’</w:t>
      </w:r>
    </w:p>
    <w:p w14:paraId="4CB59D67" w14:textId="77777777" w:rsidR="00994BCB" w:rsidRDefault="00994BCB" w:rsidP="00994BCB">
      <w:r w:rsidRPr="0030559E">
        <w:t xml:space="preserve">Social groups are identified in accordance with the Lord Advocates guidelines on Aggravations of Offences against Prejudice </w:t>
      </w:r>
      <w:proofErr w:type="gramStart"/>
      <w:r w:rsidRPr="0030559E">
        <w:t>i.e.</w:t>
      </w:r>
      <w:proofErr w:type="gramEnd"/>
      <w:r w:rsidRPr="0030559E">
        <w:t xml:space="preserve"> race, sexual orientation, religion/faith, disability or transgender identity.</w:t>
      </w:r>
    </w:p>
    <w:p w14:paraId="37D24D6C" w14:textId="208E756A" w:rsidR="00035C58" w:rsidRDefault="00035C58" w:rsidP="00994BCB">
      <w:r>
        <w:t xml:space="preserve">The information </w:t>
      </w:r>
      <w:r w:rsidR="00CF779E">
        <w:t xml:space="preserve">provided </w:t>
      </w:r>
      <w:r>
        <w:t>has been ext</w:t>
      </w:r>
      <w:r w:rsidR="009314A9">
        <w:t>racted from</w:t>
      </w:r>
      <w:r w:rsidR="00CF779E">
        <w:t xml:space="preserve"> Police Scotland’s interim Vulnerable Persons Database (</w:t>
      </w:r>
      <w:r w:rsidR="009314A9">
        <w:t>iVPD</w:t>
      </w:r>
      <w:r w:rsidR="00CF779E">
        <w:t>)</w:t>
      </w:r>
      <w:r>
        <w:t>.</w:t>
      </w:r>
      <w:r w:rsidR="00084838">
        <w:t xml:space="preserve"> </w:t>
      </w:r>
      <w:r w:rsidR="008156D8">
        <w:t>The system’s main function is to record the data of vulnerable people.</w:t>
      </w:r>
      <w:r w:rsidR="008156D8" w:rsidRPr="008156D8">
        <w:t xml:space="preserve"> </w:t>
      </w:r>
      <w:r w:rsidR="008156D8">
        <w:t xml:space="preserve">As such, it was not designed to be a statistical tool.  </w:t>
      </w:r>
    </w:p>
    <w:p w14:paraId="55DF1D5E" w14:textId="77777777" w:rsidR="005E14C6" w:rsidRDefault="00DD6781" w:rsidP="00994BCB">
      <w:r>
        <w:t xml:space="preserve">It is worthy of note that the figures provided relate to crimes recorded as being aggravated by race or religious belief prejudice. Victims of hate crimes do not have to be a member of any of the protected groups </w:t>
      </w:r>
      <w:r w:rsidR="005E14C6">
        <w:t>to</w:t>
      </w:r>
      <w:r>
        <w:t xml:space="preserve"> be a victim. For example, an individual who is the victim of a religious belief </w:t>
      </w:r>
      <w:r w:rsidR="00B36308">
        <w:t>prejudice offence</w:t>
      </w:r>
      <w:r>
        <w:t xml:space="preserve"> does not have to be</w:t>
      </w:r>
      <w:r w:rsidR="00B36308">
        <w:t xml:space="preserve"> a member of the identified religious denomination</w:t>
      </w:r>
      <w:r>
        <w:t xml:space="preserve">, for this to be perceived, </w:t>
      </w:r>
      <w:r w:rsidR="005E14C6">
        <w:t>recorded,</w:t>
      </w:r>
      <w:r>
        <w:t xml:space="preserve"> and investigated as a hate related incident. </w:t>
      </w:r>
    </w:p>
    <w:p w14:paraId="429108ED" w14:textId="77777777" w:rsidR="00210201" w:rsidRDefault="00210201" w:rsidP="00210201">
      <w:r>
        <w:t xml:space="preserve">In response to your request, please see the attached data within the spreadsheet titled FOI 23-1288 Attachment 01.  Please note the data caveats at the beginning of each table. </w:t>
      </w:r>
    </w:p>
    <w:p w14:paraId="309F1941" w14:textId="16837891" w:rsidR="00210201" w:rsidRPr="0030559E" w:rsidRDefault="00210201" w:rsidP="00210201">
      <w:r>
        <w:lastRenderedPageBreak/>
        <w:t xml:space="preserve">With respect to religious hate crimes specifically against Muslims I must advise </w:t>
      </w:r>
      <w:r w:rsidRPr="0030559E">
        <w:t xml:space="preserve">that I am unable to provide you with </w:t>
      </w:r>
      <w:r w:rsidR="0018797E">
        <w:t>all</w:t>
      </w:r>
      <w:r>
        <w:t xml:space="preserve"> the</w:t>
      </w:r>
      <w:r w:rsidRPr="0030559E">
        <w:t xml:space="preserve"> information you have requested, as it would prove too costly to do so within the context of the fee regulations.</w:t>
      </w:r>
    </w:p>
    <w:p w14:paraId="147BE291" w14:textId="48B3D40F" w:rsidR="00210201" w:rsidRPr="0030559E" w:rsidRDefault="00210201" w:rsidP="00210201">
      <w:r w:rsidRPr="0030559E">
        <w:t xml:space="preserve">As you may be aware the current cost threshold is </w:t>
      </w:r>
      <w:r w:rsidR="0018797E" w:rsidRPr="0030559E">
        <w:t>£600,</w:t>
      </w:r>
      <w:r w:rsidRPr="0030559E">
        <w:t xml:space="preserve"> and I estimate that it would cost well </w:t>
      </w:r>
      <w:proofErr w:type="gramStart"/>
      <w:r w:rsidRPr="0030559E">
        <w:t>in excess of</w:t>
      </w:r>
      <w:proofErr w:type="gramEnd"/>
      <w:r w:rsidRPr="0030559E">
        <w:t xml:space="preserve"> this amount to process your request.</w:t>
      </w:r>
    </w:p>
    <w:p w14:paraId="3F45CC77" w14:textId="77777777" w:rsidR="00210201" w:rsidRPr="0030559E" w:rsidRDefault="00210201" w:rsidP="00210201">
      <w:r w:rsidRPr="0030559E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6C47C6D4" w14:textId="27AFF64A" w:rsidR="00210201" w:rsidRPr="0030559E" w:rsidRDefault="00210201" w:rsidP="00B738D1">
      <w:r w:rsidRPr="0030559E">
        <w:t xml:space="preserve">By way of explanation, </w:t>
      </w:r>
      <w:r w:rsidR="0018797E">
        <w:t>as noted</w:t>
      </w:r>
      <w:r>
        <w:t xml:space="preserve"> above the iVPD database is limited in its capacity to provide statistical information. </w:t>
      </w:r>
      <w:r w:rsidR="0018797E">
        <w:t xml:space="preserve">As you can see from table </w:t>
      </w:r>
      <w:r w:rsidR="00B738D1">
        <w:t xml:space="preserve">1, 4249 hate crimes with a religious aggravator have been identified. To determine if any offence was prejudice against those perceived to be Muslim each record would need to be manually assessed.  A conservative estimate is that it would take approximately 4 minutes to examine a single record. This would equate to an excess of 283 hours of work. Greatly exceeding the cost threshold set out within the Act. </w:t>
      </w:r>
    </w:p>
    <w:p w14:paraId="5B1F3D17" w14:textId="77777777" w:rsidR="00210201" w:rsidRDefault="00210201" w:rsidP="00210201">
      <w:r w:rsidRPr="0030559E">
        <w:t>Police Scotland have assessed that the £600 cost limit within the Act equates to 40 hours of work and so this part of your request would breach the cost threshold.</w:t>
      </w:r>
    </w:p>
    <w:p w14:paraId="39AC78A6" w14:textId="3FA5CB5B" w:rsidR="00B018A7" w:rsidRDefault="00B018A7" w:rsidP="00210201">
      <w:r>
        <w:t xml:space="preserve">Whilst I would normally suggest a way to amend your request </w:t>
      </w:r>
      <w:r w:rsidR="00E846C4">
        <w:t>to</w:t>
      </w:r>
      <w:r>
        <w:t xml:space="preserve"> provide some data, I do not believe there is a way this question can be answered within cost in its current form.</w:t>
      </w:r>
    </w:p>
    <w:p w14:paraId="18486299" w14:textId="1199E7E9" w:rsidR="00496A08" w:rsidRPr="00BF6B81" w:rsidRDefault="00496A08" w:rsidP="00793DD5">
      <w:r>
        <w:t xml:space="preserve">If you require any further </w:t>
      </w:r>
      <w:r w:rsidR="008642E9" w:rsidRPr="00874BFD">
        <w:t>assistance,</w:t>
      </w:r>
      <w:r>
        <w:t xml:space="preserve"> please contact us quoting the reference above.</w:t>
      </w:r>
    </w:p>
    <w:p w14:paraId="2BFB3FC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0CA97F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7350DC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95DD7A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0278F32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8AD1CF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3E4B4" w14:textId="77777777" w:rsidR="00195CC4" w:rsidRDefault="00195CC4" w:rsidP="00491644">
      <w:r>
        <w:separator/>
      </w:r>
    </w:p>
  </w:endnote>
  <w:endnote w:type="continuationSeparator" w:id="0">
    <w:p w14:paraId="10E3204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0645" w14:textId="77777777" w:rsidR="00491644" w:rsidRDefault="00491644">
    <w:pPr>
      <w:pStyle w:val="Footer"/>
    </w:pPr>
  </w:p>
  <w:p w14:paraId="7190759B" w14:textId="369DBA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C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AD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2E51753" wp14:editId="39BCAF2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699645C" wp14:editId="15ABDF7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58B22370" w14:textId="2544472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C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AF13B" w14:textId="77777777" w:rsidR="00491644" w:rsidRDefault="00491644">
    <w:pPr>
      <w:pStyle w:val="Footer"/>
    </w:pPr>
  </w:p>
  <w:p w14:paraId="00251D02" w14:textId="237D94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C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31E1E" w14:textId="77777777" w:rsidR="00195CC4" w:rsidRDefault="00195CC4" w:rsidP="00491644">
      <w:r>
        <w:separator/>
      </w:r>
    </w:p>
  </w:footnote>
  <w:footnote w:type="continuationSeparator" w:id="0">
    <w:p w14:paraId="4F48A860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24B2" w14:textId="1CE1EF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C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F1F7E5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9246" w14:textId="19DCA23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C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B2A4" w14:textId="36DFA6A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2C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C1131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389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5C58"/>
    <w:rsid w:val="00046B27"/>
    <w:rsid w:val="00084838"/>
    <w:rsid w:val="00090F3B"/>
    <w:rsid w:val="000A1796"/>
    <w:rsid w:val="000A593F"/>
    <w:rsid w:val="000B6D8C"/>
    <w:rsid w:val="000E6526"/>
    <w:rsid w:val="00141533"/>
    <w:rsid w:val="00167528"/>
    <w:rsid w:val="0018797E"/>
    <w:rsid w:val="00195CC4"/>
    <w:rsid w:val="001E3AC8"/>
    <w:rsid w:val="00207326"/>
    <w:rsid w:val="00210201"/>
    <w:rsid w:val="002159E2"/>
    <w:rsid w:val="00253327"/>
    <w:rsid w:val="00253DF6"/>
    <w:rsid w:val="00255F1E"/>
    <w:rsid w:val="002A2CF9"/>
    <w:rsid w:val="002F3257"/>
    <w:rsid w:val="00317D5A"/>
    <w:rsid w:val="00337117"/>
    <w:rsid w:val="0036503B"/>
    <w:rsid w:val="00385EB9"/>
    <w:rsid w:val="00394EEC"/>
    <w:rsid w:val="003A31E5"/>
    <w:rsid w:val="003D6D03"/>
    <w:rsid w:val="003E12CA"/>
    <w:rsid w:val="003E428A"/>
    <w:rsid w:val="004010DC"/>
    <w:rsid w:val="004341F0"/>
    <w:rsid w:val="00456324"/>
    <w:rsid w:val="004574E9"/>
    <w:rsid w:val="004725C3"/>
    <w:rsid w:val="00475460"/>
    <w:rsid w:val="00490317"/>
    <w:rsid w:val="00491644"/>
    <w:rsid w:val="00496A08"/>
    <w:rsid w:val="004D4824"/>
    <w:rsid w:val="004E1605"/>
    <w:rsid w:val="004F653C"/>
    <w:rsid w:val="00510654"/>
    <w:rsid w:val="00540A52"/>
    <w:rsid w:val="00557306"/>
    <w:rsid w:val="005E14C6"/>
    <w:rsid w:val="00606738"/>
    <w:rsid w:val="006D5799"/>
    <w:rsid w:val="006F54AF"/>
    <w:rsid w:val="007065C4"/>
    <w:rsid w:val="00750D83"/>
    <w:rsid w:val="00793DD5"/>
    <w:rsid w:val="007A6FA5"/>
    <w:rsid w:val="007C2D95"/>
    <w:rsid w:val="007D1B1B"/>
    <w:rsid w:val="007D55F6"/>
    <w:rsid w:val="007F490F"/>
    <w:rsid w:val="008156D8"/>
    <w:rsid w:val="008642E9"/>
    <w:rsid w:val="0086779C"/>
    <w:rsid w:val="00871636"/>
    <w:rsid w:val="00874BFD"/>
    <w:rsid w:val="008964EF"/>
    <w:rsid w:val="008D290E"/>
    <w:rsid w:val="009314A9"/>
    <w:rsid w:val="009631A4"/>
    <w:rsid w:val="00977296"/>
    <w:rsid w:val="00994BCB"/>
    <w:rsid w:val="009D1BA3"/>
    <w:rsid w:val="009D56F2"/>
    <w:rsid w:val="00A25E93"/>
    <w:rsid w:val="00A320FF"/>
    <w:rsid w:val="00A70AC0"/>
    <w:rsid w:val="00A84EA9"/>
    <w:rsid w:val="00AC443C"/>
    <w:rsid w:val="00B018A7"/>
    <w:rsid w:val="00B11A55"/>
    <w:rsid w:val="00B11EF2"/>
    <w:rsid w:val="00B16B94"/>
    <w:rsid w:val="00B17211"/>
    <w:rsid w:val="00B36308"/>
    <w:rsid w:val="00B461B2"/>
    <w:rsid w:val="00B71B3C"/>
    <w:rsid w:val="00B738D1"/>
    <w:rsid w:val="00B7655C"/>
    <w:rsid w:val="00BC122F"/>
    <w:rsid w:val="00BC389E"/>
    <w:rsid w:val="00BE1888"/>
    <w:rsid w:val="00BF64D2"/>
    <w:rsid w:val="00BF6B81"/>
    <w:rsid w:val="00C077A8"/>
    <w:rsid w:val="00C47D25"/>
    <w:rsid w:val="00C47DE9"/>
    <w:rsid w:val="00C606A2"/>
    <w:rsid w:val="00C63872"/>
    <w:rsid w:val="00C84948"/>
    <w:rsid w:val="00C94512"/>
    <w:rsid w:val="00CC578F"/>
    <w:rsid w:val="00CF1111"/>
    <w:rsid w:val="00CF4F48"/>
    <w:rsid w:val="00CF779E"/>
    <w:rsid w:val="00D05706"/>
    <w:rsid w:val="00D27DC5"/>
    <w:rsid w:val="00D47E36"/>
    <w:rsid w:val="00D9710A"/>
    <w:rsid w:val="00DA3124"/>
    <w:rsid w:val="00DD6781"/>
    <w:rsid w:val="00E55D79"/>
    <w:rsid w:val="00E846C4"/>
    <w:rsid w:val="00EE2373"/>
    <w:rsid w:val="00EF276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DEB9E4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215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2023-07-07T13:43:00Z</dcterms:created>
  <dcterms:modified xsi:type="dcterms:W3CDTF">2023-07-07T13:43:00Z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