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278" w:rsidRPr="00F50278" w:rsidRDefault="00F50278" w:rsidP="00F50278">
      <w:pPr>
        <w:pStyle w:val="Heading1"/>
        <w:spacing w:before="600" w:after="200"/>
        <w:rPr>
          <w:color w:val="000000" w:themeColor="text1"/>
        </w:rPr>
      </w:pPr>
      <w:r w:rsidRPr="00F50278">
        <w:rPr>
          <w:color w:val="000000" w:themeColor="text1"/>
        </w:rPr>
        <w:t>Digital Device Journey Flow Process</w:t>
      </w:r>
    </w:p>
    <w:p w:rsidR="00F50278" w:rsidRPr="00F50278" w:rsidRDefault="00F50278" w:rsidP="00F50278">
      <w:pPr>
        <w:pBdr>
          <w:top w:val="single" w:sz="4" w:space="1" w:color="FF0000"/>
          <w:left w:val="single" w:sz="4" w:space="4" w:color="FF0000"/>
          <w:bottom w:val="single" w:sz="4" w:space="1" w:color="FF0000"/>
          <w:right w:val="single" w:sz="4" w:space="0" w:color="FF0000"/>
        </w:pBdr>
        <w:spacing w:before="120" w:after="120"/>
        <w:rPr>
          <w:szCs w:val="22"/>
        </w:rPr>
      </w:pPr>
      <w:r w:rsidRPr="00F50278">
        <w:rPr>
          <w:szCs w:val="22"/>
        </w:rPr>
        <w:t xml:space="preserve">There may be times depending on the circumstances and what potential evidence is on your device, that we need to take it, even if you refuse to agree to examination. We may also need to retain the device despite your withdrawal. In these cases, we will use one of the other powers (warrant or common law) to do so. </w:t>
      </w:r>
    </w:p>
    <w:p w:rsidR="00F50278" w:rsidRPr="00F50278" w:rsidRDefault="00F50278" w:rsidP="00F50278">
      <w:pPr>
        <w:pBdr>
          <w:top w:val="single" w:sz="4" w:space="1" w:color="FF0000"/>
          <w:left w:val="single" w:sz="4" w:space="4" w:color="FF0000"/>
          <w:bottom w:val="single" w:sz="4" w:space="1" w:color="FF0000"/>
          <w:right w:val="single" w:sz="4" w:space="0" w:color="FF0000"/>
        </w:pBdr>
        <w:spacing w:before="120" w:after="120"/>
        <w:rPr>
          <w:szCs w:val="22"/>
        </w:rPr>
      </w:pPr>
      <w:bookmarkStart w:id="0" w:name="_GoBack"/>
      <w:bookmarkEnd w:id="0"/>
    </w:p>
    <w:p w:rsidR="00F50278" w:rsidRPr="00F50278" w:rsidRDefault="00F50278" w:rsidP="00F50278">
      <w:pPr>
        <w:pBdr>
          <w:top w:val="single" w:sz="4" w:space="1" w:color="FF0000"/>
          <w:left w:val="single" w:sz="4" w:space="4" w:color="FF0000"/>
          <w:bottom w:val="single" w:sz="4" w:space="1" w:color="FF0000"/>
          <w:right w:val="single" w:sz="4" w:space="0" w:color="FF0000"/>
        </w:pBdr>
        <w:spacing w:before="120" w:after="120"/>
        <w:rPr>
          <w:szCs w:val="22"/>
        </w:rPr>
      </w:pPr>
      <w:r w:rsidRPr="00F50278">
        <w:rPr>
          <w:szCs w:val="22"/>
        </w:rPr>
        <w:t>The Data Protection Act 2018 allows police to keep and use information taken from a device for the investigation, even if you withdraw your agreement for police to retain the device itself</w:t>
      </w:r>
      <w:r w:rsidR="00DE03F7">
        <w:rPr>
          <w:szCs w:val="22"/>
        </w:rPr>
        <w:t>.</w:t>
      </w:r>
    </w:p>
    <w:p w:rsidR="00F50278" w:rsidRDefault="00A5412A" w:rsidP="00F50278">
      <w:pPr>
        <w:jc w:val="center"/>
      </w:pPr>
      <w:r>
        <w:object w:dxaOrig="10388" w:dyaOrig="29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This Digital Device Journey Flow Process has the following steps.&#10;It is established that there are reasonable grounds to believe the device of a victim or witness holds evidence relevant to the investigation.&#10;Identify lawful authority to take device either BY AGREEMENT, where a victim or witness is willing to provide their device voluntarily.  Or,&#10;COMMON LAW (Urgency), taking the device immediately must be proportionate and necessary for example, evidence might be lost or destroyed.  Or, &#10;WARRANT, where a court has allowed police to take the device.&#10;For further information about these authorities see Police Scotland’s Digital Device Seizure and Examination Legal Basis.&#10;If Lawful authority has not been established, progress enquiry without device.&#10;If Lawful authority is established the device is taken by Police Scotland.&#10;Does device contain evidence? &#10;If Unknown, Examination Request Form Submitted (See Digital Device ERF Flow Process).&#10;Initial triage of device for evidence using Cyber Kiosk.&#10;Device found to contain evidence?&#10;If yes, Examination Request Form Submitted (See Digital Device ERF Flow Process), and device contents are extracted by the Digital Forensics Hub.&#10;If no, the device is returned to owner &#10;If the device is sent to the Digital Forensic Hub the contents are extracted and reviewed by the Investigating Officer.&#10;Is relevant evidence identified?&#10;If no, the device is returned to owner where appropriate dependent on circumstances of the investigation&#10;If there is sufficient evidence a report is submitted to COPFS and an evidential report generated by Digital Forensics Hub.&#10;When court proceedings are concluded the device is returned to owner.&#10;" style="width:301.55pt;height:861.65pt" o:ole="">
            <v:imagedata r:id="rId6" o:title=""/>
          </v:shape>
          <o:OLEObject Type="Embed" ProgID="Visio.Drawing.15" ShapeID="_x0000_i1042" DrawAspect="Content" ObjectID="_1740995488" r:id="rId7"/>
        </w:object>
      </w:r>
    </w:p>
    <w:sectPr w:rsidR="00F50278" w:rsidSect="00F50278">
      <w:headerReference w:type="even" r:id="rId8"/>
      <w:headerReference w:type="default" r:id="rId9"/>
      <w:footerReference w:type="even" r:id="rId10"/>
      <w:footerReference w:type="default" r:id="rId11"/>
      <w:headerReference w:type="first" r:id="rId12"/>
      <w:footerReference w:type="first" r:id="rId13"/>
      <w:pgSz w:w="15840" w:h="24480" w:code="3"/>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278" w:rsidRDefault="00F50278" w:rsidP="008A636C">
      <w:pPr>
        <w:spacing w:before="0" w:line="240" w:lineRule="auto"/>
      </w:pPr>
      <w:r>
        <w:separator/>
      </w:r>
    </w:p>
  </w:endnote>
  <w:endnote w:type="continuationSeparator" w:id="0">
    <w:p w:rsidR="00F50278" w:rsidRDefault="00F50278" w:rsidP="008A636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6C" w:rsidRDefault="008A636C">
    <w:pPr>
      <w:pStyle w:val="Footer"/>
    </w:pPr>
  </w:p>
  <w:p w:rsidR="008A636C" w:rsidRDefault="00DE03F7" w:rsidP="008A636C">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6C" w:rsidRDefault="008A636C">
    <w:pPr>
      <w:pStyle w:val="Footer"/>
    </w:pPr>
  </w:p>
  <w:p w:rsidR="008A636C" w:rsidRDefault="00DE03F7" w:rsidP="008A636C">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6C" w:rsidRDefault="008A636C">
    <w:pPr>
      <w:pStyle w:val="Footer"/>
    </w:pPr>
  </w:p>
  <w:p w:rsidR="008A636C" w:rsidRDefault="00DE03F7" w:rsidP="008A636C">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278" w:rsidRDefault="00F50278" w:rsidP="008A636C">
      <w:pPr>
        <w:spacing w:before="0" w:line="240" w:lineRule="auto"/>
      </w:pPr>
      <w:r>
        <w:separator/>
      </w:r>
    </w:p>
  </w:footnote>
  <w:footnote w:type="continuationSeparator" w:id="0">
    <w:p w:rsidR="00F50278" w:rsidRDefault="00F50278" w:rsidP="008A636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6C" w:rsidRDefault="00DE03F7" w:rsidP="008A636C">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8A636C" w:rsidRDefault="008A6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6C" w:rsidRDefault="00DE03F7" w:rsidP="008A636C">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8A636C" w:rsidRDefault="008A63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36C" w:rsidRDefault="00DE03F7" w:rsidP="008A636C">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8A636C" w:rsidRDefault="008A63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278"/>
    <w:rsid w:val="000E7350"/>
    <w:rsid w:val="008A636C"/>
    <w:rsid w:val="00A5412A"/>
    <w:rsid w:val="00C8464C"/>
    <w:rsid w:val="00DE03F7"/>
    <w:rsid w:val="00F50278"/>
    <w:rsid w:val="00FC1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670C5-56B1-4D74-AA99-7822791A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AB4"/>
  </w:style>
  <w:style w:type="paragraph" w:styleId="Heading1">
    <w:name w:val="heading 1"/>
    <w:basedOn w:val="Normal"/>
    <w:next w:val="Normal"/>
    <w:link w:val="Heading1Char"/>
    <w:uiPriority w:val="9"/>
    <w:qFormat/>
    <w:rsid w:val="00FC1AB4"/>
    <w:pPr>
      <w:keepNext/>
      <w:keepLines/>
      <w:outlineLvl w:val="0"/>
    </w:pPr>
    <w:rPr>
      <w:rFonts w:eastAsiaTheme="majorEastAsia" w:cstheme="majorBidi"/>
      <w:b/>
      <w:color w:val="2E74B5" w:themeColor="accent1" w:themeShade="BF"/>
      <w:sz w:val="36"/>
      <w:szCs w:val="32"/>
    </w:rPr>
  </w:style>
  <w:style w:type="paragraph" w:styleId="Heading2">
    <w:name w:val="heading 2"/>
    <w:basedOn w:val="Normal"/>
    <w:next w:val="Normal"/>
    <w:link w:val="Heading2Char"/>
    <w:uiPriority w:val="9"/>
    <w:semiHidden/>
    <w:unhideWhenUsed/>
    <w:qFormat/>
    <w:rsid w:val="00FC1AB4"/>
    <w:pPr>
      <w:keepNext/>
      <w:keepLines/>
      <w:spacing w:before="40"/>
      <w:outlineLvl w:val="1"/>
    </w:pPr>
    <w:rPr>
      <w:rFonts w:eastAsiaTheme="majorEastAsia" w:cstheme="majorBidi"/>
      <w:b/>
      <w:sz w:val="32"/>
      <w:szCs w:val="26"/>
    </w:rPr>
  </w:style>
  <w:style w:type="paragraph" w:styleId="Heading3">
    <w:name w:val="heading 3"/>
    <w:basedOn w:val="Normal"/>
    <w:next w:val="Normal"/>
    <w:link w:val="Heading3Char"/>
    <w:uiPriority w:val="9"/>
    <w:semiHidden/>
    <w:unhideWhenUsed/>
    <w:qFormat/>
    <w:rsid w:val="00FC1AB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FC1AB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AB4"/>
    <w:rPr>
      <w:rFonts w:ascii="Arial" w:eastAsiaTheme="majorEastAsia" w:hAnsi="Arial" w:cstheme="majorBidi"/>
      <w:b/>
      <w:color w:val="2E74B5" w:themeColor="accent1" w:themeShade="BF"/>
      <w:sz w:val="36"/>
      <w:szCs w:val="32"/>
    </w:rPr>
  </w:style>
  <w:style w:type="character" w:customStyle="1" w:styleId="Heading2Char">
    <w:name w:val="Heading 2 Char"/>
    <w:basedOn w:val="DefaultParagraphFont"/>
    <w:link w:val="Heading2"/>
    <w:uiPriority w:val="9"/>
    <w:semiHidden/>
    <w:rsid w:val="00FC1AB4"/>
    <w:rPr>
      <w:rFonts w:ascii="Arial" w:eastAsiaTheme="majorEastAsia" w:hAnsi="Arial" w:cstheme="majorBidi"/>
      <w:b/>
      <w:sz w:val="32"/>
      <w:szCs w:val="26"/>
    </w:rPr>
  </w:style>
  <w:style w:type="character" w:customStyle="1" w:styleId="Heading3Char">
    <w:name w:val="Heading 3 Char"/>
    <w:basedOn w:val="DefaultParagraphFont"/>
    <w:link w:val="Heading3"/>
    <w:uiPriority w:val="9"/>
    <w:semiHidden/>
    <w:rsid w:val="00FC1AB4"/>
    <w:rPr>
      <w:rFonts w:asciiTheme="majorHAnsi" w:eastAsiaTheme="majorEastAsia" w:hAnsiTheme="majorHAnsi" w:cstheme="majorBidi"/>
      <w:b/>
      <w:color w:val="1F4D78" w:themeColor="accent1" w:themeShade="7F"/>
      <w:sz w:val="24"/>
      <w:szCs w:val="24"/>
    </w:rPr>
  </w:style>
  <w:style w:type="character" w:customStyle="1" w:styleId="Heading4Char">
    <w:name w:val="Heading 4 Char"/>
    <w:basedOn w:val="DefaultParagraphFont"/>
    <w:link w:val="Heading4"/>
    <w:uiPriority w:val="9"/>
    <w:semiHidden/>
    <w:rsid w:val="00FC1AB4"/>
    <w:rPr>
      <w:rFonts w:asciiTheme="majorHAnsi" w:eastAsiaTheme="majorEastAsia" w:hAnsiTheme="majorHAnsi" w:cstheme="majorBidi"/>
      <w:b/>
      <w:i/>
      <w:iCs/>
      <w:color w:val="2E74B5" w:themeColor="accent1" w:themeShade="BF"/>
      <w:sz w:val="24"/>
    </w:rPr>
  </w:style>
  <w:style w:type="paragraph" w:styleId="Header">
    <w:name w:val="header"/>
    <w:basedOn w:val="Normal"/>
    <w:link w:val="HeaderChar"/>
    <w:uiPriority w:val="99"/>
    <w:unhideWhenUsed/>
    <w:rsid w:val="008A636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A636C"/>
  </w:style>
  <w:style w:type="paragraph" w:styleId="Footer">
    <w:name w:val="footer"/>
    <w:basedOn w:val="Normal"/>
    <w:link w:val="FooterChar"/>
    <w:uiPriority w:val="99"/>
    <w:unhideWhenUsed/>
    <w:rsid w:val="008A636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A6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package" Target="embeddings/Microsoft_Visio_Drawing1.vsdx"/><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 Philip</dc:creator>
  <cp:keywords/>
  <dc:description/>
  <cp:lastModifiedBy>Wilkin, Philip</cp:lastModifiedBy>
  <cp:revision>3</cp:revision>
  <dcterms:created xsi:type="dcterms:W3CDTF">2023-03-22T12:23:00Z</dcterms:created>
  <dcterms:modified xsi:type="dcterms:W3CDTF">2023-03-22T13:04:00Z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SPNET\1487495</vt:lpwstr>
  </property>
  <property fmtid="{D5CDD505-2E9C-101B-9397-08002B2CF9AE}" pid="5" name="ClassificationMadeExternally">
    <vt:lpwstr>No</vt:lpwstr>
  </property>
  <property fmtid="{D5CDD505-2E9C-101B-9397-08002B2CF9AE}" pid="6" name="ClassificationMadeOn">
    <vt:filetime>2023-03-22T12:28:50Z</vt:filetime>
  </property>
</Properties>
</file>