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45E24B8" w:rsidR="00B17211" w:rsidRPr="00B17211" w:rsidRDefault="00B17211" w:rsidP="007F490F">
            <w:r w:rsidRPr="007F490F">
              <w:rPr>
                <w:rStyle w:val="Heading2Char"/>
              </w:rPr>
              <w:t>Our reference:</w:t>
            </w:r>
            <w:r>
              <w:t xml:space="preserve">  FOI 2</w:t>
            </w:r>
            <w:r w:rsidR="00AC443C">
              <w:t>3</w:t>
            </w:r>
            <w:r>
              <w:t>-</w:t>
            </w:r>
            <w:r w:rsidR="00FB4D46">
              <w:t>1</w:t>
            </w:r>
            <w:r w:rsidR="00A23810">
              <w:t>698</w:t>
            </w:r>
          </w:p>
          <w:p w14:paraId="5979BB04" w14:textId="14BB3322" w:rsidR="00B17211" w:rsidRDefault="00456324" w:rsidP="00EE2373">
            <w:r w:rsidRPr="007F490F">
              <w:rPr>
                <w:rStyle w:val="Heading2Char"/>
              </w:rPr>
              <w:t>Respon</w:t>
            </w:r>
            <w:r w:rsidR="007D55F6">
              <w:rPr>
                <w:rStyle w:val="Heading2Char"/>
              </w:rPr>
              <w:t>ded to:</w:t>
            </w:r>
            <w:r w:rsidR="007F490F">
              <w:t xml:space="preserve">  </w:t>
            </w:r>
            <w:r w:rsidR="00FB4D46">
              <w:t>1</w:t>
            </w:r>
            <w:r w:rsidR="00EA2597">
              <w:t>4</w:t>
            </w:r>
            <w:r w:rsidR="006D5799">
              <w:t xml:space="preserve"> </w:t>
            </w:r>
            <w:r w:rsidR="00074F2E">
              <w:t>August</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F7EB242" w14:textId="77777777" w:rsidR="00EC0BC9" w:rsidRDefault="00EC0BC9" w:rsidP="00EC0BC9">
      <w:r w:rsidRPr="00932FA5">
        <w:t xml:space="preserve">We have received an unprecedented volume of requests </w:t>
      </w:r>
      <w:r>
        <w:t>lately</w:t>
      </w:r>
      <w:r w:rsidRPr="00932FA5">
        <w:t xml:space="preserve"> and that has, unfortunately, impacted on our ability to meet the statutory timescales in some cases.</w:t>
      </w:r>
    </w:p>
    <w:p w14:paraId="511CFC51" w14:textId="6781E3DB" w:rsidR="00EC0BC9" w:rsidRDefault="00EC0BC9" w:rsidP="00EC0BC9">
      <w:pPr>
        <w:tabs>
          <w:tab w:val="left" w:pos="5400"/>
        </w:tabs>
        <w:rPr>
          <w:rFonts w:eastAsiaTheme="majorEastAsia" w:cstheme="majorBidi"/>
          <w:bCs/>
          <w:color w:val="000000" w:themeColor="text1"/>
          <w:szCs w:val="26"/>
        </w:rPr>
      </w:pPr>
      <w:bookmarkStart w:id="0" w:name="_Hlk142673841"/>
      <w:r>
        <w:rPr>
          <w:rFonts w:eastAsiaTheme="majorEastAsia" w:cstheme="majorBidi"/>
          <w:bCs/>
          <w:color w:val="000000" w:themeColor="text1"/>
          <w:szCs w:val="26"/>
        </w:rPr>
        <w:t>Before answering your questions, we would stress that t</w:t>
      </w:r>
      <w:r w:rsidRPr="006A6B58">
        <w:rPr>
          <w:rFonts w:eastAsiaTheme="majorEastAsia" w:cstheme="majorBidi"/>
          <w:bCs/>
          <w:color w:val="000000" w:themeColor="text1"/>
          <w:szCs w:val="26"/>
        </w:rPr>
        <w:t xml:space="preserve">he </w:t>
      </w:r>
      <w:bookmarkEnd w:id="0"/>
      <w:r w:rsidRPr="006A6B58">
        <w:rPr>
          <w:rFonts w:eastAsiaTheme="majorEastAsia" w:cstheme="majorBidi"/>
          <w:bCs/>
          <w:color w:val="000000" w:themeColor="text1"/>
          <w:szCs w:val="26"/>
        </w:rPr>
        <w:t>wellbeing of our officers and staff is absolutely fundamental to the delivery of policing in Scotland</w:t>
      </w:r>
      <w:r>
        <w:rPr>
          <w:rFonts w:eastAsiaTheme="majorEastAsia" w:cstheme="majorBidi"/>
          <w:bCs/>
          <w:color w:val="000000" w:themeColor="text1"/>
          <w:szCs w:val="26"/>
        </w:rPr>
        <w:t xml:space="preserve"> and we offer a range of support, detailed as follows:</w:t>
      </w:r>
    </w:p>
    <w:p w14:paraId="600887C4" w14:textId="77777777" w:rsidR="00EC0BC9" w:rsidRPr="00EC0BC9" w:rsidRDefault="00EC0BC9" w:rsidP="00EC0BC9">
      <w:pPr>
        <w:tabs>
          <w:tab w:val="left" w:pos="5400"/>
        </w:tabs>
        <w:rPr>
          <w:rFonts w:eastAsiaTheme="majorEastAsia" w:cstheme="majorBidi"/>
          <w:bCs/>
          <w:color w:val="000000" w:themeColor="text1"/>
          <w:sz w:val="4"/>
          <w:szCs w:val="6"/>
        </w:rPr>
      </w:pPr>
    </w:p>
    <w:p w14:paraId="424D49F6"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Your Wellbeing Assessment (YWA)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mental health MOT</w:t>
      </w:r>
    </w:p>
    <w:p w14:paraId="70EB079A" w14:textId="77777777" w:rsidR="00272933" w:rsidRDefault="00EC0BC9" w:rsidP="00EC0BC9">
      <w:pPr>
        <w:tabs>
          <w:tab w:val="left" w:pos="5400"/>
        </w:tabs>
      </w:pPr>
      <w:r w:rsidRPr="006A6B58">
        <w:t xml:space="preserve">This is a ‘Mental Health MOT’, delivered through Optima Health, designed to identify early signs of psychological ill health as well as indicators of depression, anxiety disorder and post-traumatic stress disorder (PTSD). </w:t>
      </w:r>
      <w:r w:rsidR="00272933">
        <w:t xml:space="preserve"> </w:t>
      </w:r>
    </w:p>
    <w:p w14:paraId="72AAC5DF" w14:textId="60C4973E" w:rsidR="00EC0BC9" w:rsidRPr="006A6B58" w:rsidRDefault="00EC0BC9" w:rsidP="00EC0BC9">
      <w:pPr>
        <w:tabs>
          <w:tab w:val="left" w:pos="5400"/>
        </w:tabs>
      </w:pPr>
      <w:r w:rsidRPr="006A6B58">
        <w:t>Where appropriate it will lead to support via counselling or</w:t>
      </w:r>
      <w:r>
        <w:t xml:space="preserve"> signposting to their </w:t>
      </w:r>
      <w:r w:rsidRPr="006A6B58">
        <w:t xml:space="preserve">GP. </w:t>
      </w:r>
    </w:p>
    <w:p w14:paraId="1C75E7D6" w14:textId="77777777" w:rsidR="00EC0BC9" w:rsidRDefault="00EC0BC9" w:rsidP="00EC0BC9">
      <w:pPr>
        <w:tabs>
          <w:tab w:val="left" w:pos="5400"/>
        </w:tabs>
        <w:rPr>
          <w:rFonts w:eastAsiaTheme="majorEastAsia" w:cstheme="majorBidi"/>
          <w:b/>
          <w:bCs/>
          <w:color w:val="000000" w:themeColor="text1"/>
          <w:szCs w:val="26"/>
        </w:rPr>
      </w:pPr>
    </w:p>
    <w:p w14:paraId="724BBEE7" w14:textId="77777777" w:rsidR="00EC0BC9" w:rsidRPr="006A6B58" w:rsidRDefault="00EC0BC9" w:rsidP="00EC0BC9">
      <w:pPr>
        <w:tabs>
          <w:tab w:val="left" w:pos="5400"/>
        </w:tabs>
        <w:rPr>
          <w:rFonts w:eastAsiaTheme="majorEastAsia" w:cstheme="majorBidi"/>
          <w:color w:val="000000" w:themeColor="text1"/>
          <w:szCs w:val="26"/>
          <w:u w:val="single"/>
        </w:rPr>
      </w:pPr>
      <w:r w:rsidRPr="006A6B58">
        <w:rPr>
          <w:rFonts w:eastAsiaTheme="majorEastAsia" w:cstheme="majorBidi"/>
          <w:color w:val="000000" w:themeColor="text1"/>
          <w:szCs w:val="26"/>
          <w:u w:val="single"/>
        </w:rPr>
        <w:t>Resilience Assessments - support of high risk roles</w:t>
      </w:r>
    </w:p>
    <w:p w14:paraId="5EE78CAB" w14:textId="77777777" w:rsidR="00EC0BC9" w:rsidRPr="006A6B58" w:rsidRDefault="00EC0BC9" w:rsidP="00EC0BC9">
      <w:pPr>
        <w:tabs>
          <w:tab w:val="left" w:pos="5400"/>
        </w:tabs>
      </w:pPr>
      <w:r>
        <w:t>An</w:t>
      </w:r>
      <w:r w:rsidRPr="006A6B58">
        <w:t xml:space="preserve"> annual resilience assessment </w:t>
      </w:r>
      <w:r>
        <w:t xml:space="preserve">is conducted </w:t>
      </w:r>
      <w:r w:rsidRPr="006A6B58">
        <w:t>for a number of identified roles</w:t>
      </w:r>
      <w:r>
        <w:t xml:space="preserve"> - for example</w:t>
      </w:r>
      <w:r w:rsidRPr="006A6B58">
        <w:t xml:space="preserve"> where there is a likelihood of a more regular exposure to trauma.   </w:t>
      </w:r>
      <w:r>
        <w:t>This is c</w:t>
      </w:r>
      <w:r w:rsidRPr="006A6B58">
        <w:t>ounsellor led and allows for an assessment of psychological wellbeing.</w:t>
      </w:r>
    </w:p>
    <w:p w14:paraId="1D3682E3" w14:textId="77777777" w:rsidR="00EA2597" w:rsidRDefault="00EA2597" w:rsidP="00EC0BC9">
      <w:pPr>
        <w:tabs>
          <w:tab w:val="left" w:pos="5400"/>
        </w:tabs>
        <w:rPr>
          <w:rFonts w:eastAsiaTheme="majorEastAsia" w:cstheme="majorBidi"/>
          <w:bCs/>
          <w:color w:val="000000" w:themeColor="text1"/>
          <w:szCs w:val="26"/>
          <w:u w:val="single"/>
        </w:rPr>
      </w:pPr>
    </w:p>
    <w:p w14:paraId="740C538F" w14:textId="6CA5518D"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Wellbeing Champions Network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peer to peer support</w:t>
      </w:r>
    </w:p>
    <w:p w14:paraId="4EF2B8E7" w14:textId="77777777" w:rsidR="00EC0BC9"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The Wellbeing Champion Network provides peer to peer support and is locally positioned across all parts of the organisation.  There are currently around 130 </w:t>
      </w:r>
      <w:r>
        <w:rPr>
          <w:rFonts w:eastAsiaTheme="majorEastAsia" w:cstheme="majorBidi"/>
          <w:bCs/>
          <w:color w:val="000000" w:themeColor="text1"/>
          <w:szCs w:val="26"/>
        </w:rPr>
        <w:t>c</w:t>
      </w:r>
      <w:r w:rsidRPr="006A6B58">
        <w:rPr>
          <w:rFonts w:eastAsiaTheme="majorEastAsia" w:cstheme="majorBidi"/>
          <w:bCs/>
          <w:color w:val="000000" w:themeColor="text1"/>
          <w:szCs w:val="26"/>
        </w:rPr>
        <w:t>hampions but we are recruiting to increase this to around 230.</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A key theme we hear from trauma and mental health specialists and our officers and staff themselves is around the benefit of peer-to-peer support and lived experiences and this is an area we focus on heavily. </w:t>
      </w:r>
      <w:r w:rsidRPr="006A6B58">
        <w:rPr>
          <w:rFonts w:eastAsiaTheme="majorEastAsia" w:cstheme="majorBidi"/>
          <w:bCs/>
          <w:color w:val="000000" w:themeColor="text1"/>
          <w:szCs w:val="26"/>
        </w:rPr>
        <w:br/>
      </w:r>
    </w:p>
    <w:p w14:paraId="36B76CAC" w14:textId="50AC57EC"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u w:val="single"/>
        </w:rPr>
        <w:lastRenderedPageBreak/>
        <w:t xml:space="preserve">Communications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Mental health / Suicide focus </w:t>
      </w:r>
    </w:p>
    <w:p w14:paraId="35D0D2A9" w14:textId="77777777"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Our Lived Experience Series </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a new way of highlighting mental health, suicide and further breaking down mental health stigma. The series focuses on real life experience relived by our own people, with one piece specific to an officer’s recovery from considering suicide. </w:t>
      </w:r>
    </w:p>
    <w:p w14:paraId="272E5E82"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rPr>
        <w:t xml:space="preserve">Mental Health Awareness week 2023 - Communications campaign focused on anxiety and the sharing of lived experience. </w:t>
      </w:r>
    </w:p>
    <w:p w14:paraId="38EC7526" w14:textId="77777777"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HWB Newsletter features resources from Optima Health on mental health and suicide.</w:t>
      </w:r>
    </w:p>
    <w:p w14:paraId="6256F710" w14:textId="77777777" w:rsidR="00EC0BC9" w:rsidRPr="006A6B58" w:rsidRDefault="00EC0BC9" w:rsidP="00EC0BC9">
      <w:pPr>
        <w:tabs>
          <w:tab w:val="left" w:pos="5400"/>
        </w:tabs>
        <w:rPr>
          <w:rFonts w:eastAsiaTheme="majorEastAsia" w:cstheme="majorBidi"/>
          <w:b/>
          <w:color w:val="000000" w:themeColor="text1"/>
          <w:szCs w:val="26"/>
        </w:rPr>
      </w:pPr>
    </w:p>
    <w:p w14:paraId="3D510CDC"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People Direct </w:t>
      </w:r>
      <w:r>
        <w:rPr>
          <w:rFonts w:eastAsiaTheme="majorEastAsia" w:cstheme="majorBidi"/>
          <w:bCs/>
          <w:color w:val="000000" w:themeColor="text1"/>
          <w:szCs w:val="26"/>
          <w:u w:val="single"/>
        </w:rPr>
        <w:t>-</w:t>
      </w:r>
      <w:r w:rsidRPr="006A6B58">
        <w:rPr>
          <w:rFonts w:eastAsiaTheme="majorEastAsia" w:cstheme="majorBidi"/>
          <w:bCs/>
          <w:color w:val="000000" w:themeColor="text1"/>
          <w:szCs w:val="26"/>
          <w:u w:val="single"/>
        </w:rPr>
        <w:t xml:space="preserve"> absence </w:t>
      </w:r>
      <w:r>
        <w:rPr>
          <w:rFonts w:eastAsiaTheme="majorEastAsia" w:cstheme="majorBidi"/>
          <w:bCs/>
          <w:color w:val="000000" w:themeColor="text1"/>
          <w:szCs w:val="26"/>
          <w:u w:val="single"/>
        </w:rPr>
        <w:t>due to</w:t>
      </w:r>
      <w:r w:rsidRPr="006A6B58">
        <w:rPr>
          <w:rFonts w:eastAsiaTheme="majorEastAsia" w:cstheme="majorBidi"/>
          <w:bCs/>
          <w:color w:val="000000" w:themeColor="text1"/>
          <w:szCs w:val="26"/>
          <w:u w:val="single"/>
        </w:rPr>
        <w:t xml:space="preserve"> mental health issues</w:t>
      </w:r>
      <w:r>
        <w:rPr>
          <w:rFonts w:eastAsiaTheme="majorEastAsia" w:cstheme="majorBidi"/>
          <w:bCs/>
          <w:color w:val="000000" w:themeColor="text1"/>
          <w:szCs w:val="26"/>
          <w:u w:val="single"/>
        </w:rPr>
        <w:t xml:space="preserve">/ </w:t>
      </w:r>
      <w:r w:rsidRPr="006A6B58">
        <w:rPr>
          <w:rFonts w:eastAsiaTheme="majorEastAsia" w:cstheme="majorBidi"/>
          <w:bCs/>
          <w:color w:val="000000" w:themeColor="text1"/>
          <w:szCs w:val="26"/>
          <w:u w:val="single"/>
        </w:rPr>
        <w:t>psychological conditions.</w:t>
      </w:r>
    </w:p>
    <w:p w14:paraId="69672AE9" w14:textId="77777777" w:rsidR="00EC0BC9" w:rsidRPr="006A6B58" w:rsidRDefault="00EC0BC9" w:rsidP="00EC0BC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l</w:t>
      </w:r>
      <w:r w:rsidRPr="006A6B58">
        <w:rPr>
          <w:rFonts w:eastAsiaTheme="majorEastAsia" w:cstheme="majorBidi"/>
          <w:bCs/>
          <w:color w:val="000000" w:themeColor="text1"/>
          <w:szCs w:val="26"/>
        </w:rPr>
        <w:t>aunched a revised support offering via our People Direct Service Desk which handles circa 5,500 wellbeing-related calls per month</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ranging from those that report sick/ report fit and those that are looking for advice and guidance. </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The advisors on the desk have been trained (‘Lifelines Scotland’ and ‘Scottish Mental Health First Aid) enabling them to provide further advice on how to seek support and signpost the person through the right pathway.  </w:t>
      </w:r>
    </w:p>
    <w:p w14:paraId="35E6286D" w14:textId="77777777" w:rsidR="00EC0BC9" w:rsidRPr="006A6B58" w:rsidRDefault="00EC0BC9" w:rsidP="00EC0BC9">
      <w:pPr>
        <w:tabs>
          <w:tab w:val="left" w:pos="5400"/>
        </w:tabs>
        <w:rPr>
          <w:rFonts w:eastAsiaTheme="majorEastAsia" w:cstheme="majorBidi"/>
          <w:b/>
          <w:color w:val="000000" w:themeColor="text1"/>
          <w:szCs w:val="26"/>
        </w:rPr>
      </w:pPr>
    </w:p>
    <w:p w14:paraId="59A9BA22"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Learning, Training Development - Line Manager role in support and spotting signs and symptoms </w:t>
      </w:r>
    </w:p>
    <w:p w14:paraId="5F5690B4" w14:textId="77777777"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People Manager Development Programme has now been developed with the focus being supporting our people and ‘Promoting a Positive Workplace’.   The programme is mandatory for all line managers.  The first ‘module’ is ‘Health and Wellbeing’ with the main</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 xml:space="preserve">focus being mental health and the role of the line manager around having supportive conversations, how to spot early signs of mental health and what tools they need to engage their people and ask about their wellness. </w:t>
      </w:r>
    </w:p>
    <w:p w14:paraId="16FA27E1" w14:textId="77777777" w:rsidR="00EC0BC9" w:rsidRPr="006A6B58" w:rsidRDefault="00EC0BC9" w:rsidP="00EC0BC9">
      <w:pPr>
        <w:tabs>
          <w:tab w:val="left" w:pos="5400"/>
        </w:tabs>
        <w:rPr>
          <w:rFonts w:eastAsiaTheme="majorEastAsia" w:cstheme="majorBidi"/>
          <w:b/>
          <w:color w:val="000000" w:themeColor="text1"/>
          <w:szCs w:val="26"/>
        </w:rPr>
      </w:pPr>
    </w:p>
    <w:p w14:paraId="15D89817"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 xml:space="preserve">Learning, Training Development - Lifelines Scotland Project </w:t>
      </w:r>
    </w:p>
    <w:p w14:paraId="314F6A6C" w14:textId="77777777"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The ‘Lifelines Scotland’ training </w:t>
      </w:r>
      <w:r>
        <w:rPr>
          <w:rFonts w:eastAsiaTheme="majorEastAsia" w:cstheme="majorBidi"/>
          <w:bCs/>
          <w:color w:val="000000" w:themeColor="text1"/>
          <w:szCs w:val="26"/>
        </w:rPr>
        <w:t>is</w:t>
      </w:r>
      <w:r w:rsidRPr="006A6B58">
        <w:rPr>
          <w:rFonts w:eastAsiaTheme="majorEastAsia" w:cstheme="majorBidi"/>
          <w:bCs/>
          <w:color w:val="000000" w:themeColor="text1"/>
          <w:szCs w:val="26"/>
        </w:rPr>
        <w:t xml:space="preserve"> delivered by NHS Lothian’s centre for Traumatic Stress. 1,281 officers and staff have attended training, which consists of 3 modules: </w:t>
      </w:r>
    </w:p>
    <w:p w14:paraId="4EB27053" w14:textId="77777777" w:rsidR="00EC0BC9" w:rsidRDefault="00EC0BC9" w:rsidP="00EC0BC9">
      <w:pPr>
        <w:pStyle w:val="ListParagraph"/>
        <w:numPr>
          <w:ilvl w:val="0"/>
          <w:numId w:val="2"/>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Staying well, understanding resilience and self-care </w:t>
      </w:r>
    </w:p>
    <w:p w14:paraId="2E8BF7BF" w14:textId="77777777" w:rsidR="00EC0BC9" w:rsidRDefault="00EC0BC9" w:rsidP="00EC0BC9">
      <w:pPr>
        <w:pStyle w:val="ListParagraph"/>
        <w:numPr>
          <w:ilvl w:val="0"/>
          <w:numId w:val="2"/>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Supporting your colleagues </w:t>
      </w:r>
    </w:p>
    <w:p w14:paraId="4AAC1AD3" w14:textId="77777777" w:rsidR="00EC0BC9" w:rsidRPr="006A6B58" w:rsidRDefault="00EC0BC9" w:rsidP="00EC0BC9">
      <w:pPr>
        <w:pStyle w:val="ListParagraph"/>
        <w:numPr>
          <w:ilvl w:val="0"/>
          <w:numId w:val="2"/>
        </w:num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 xml:space="preserve">Post Trauma Support providing Psychological First Aid. </w:t>
      </w:r>
    </w:p>
    <w:p w14:paraId="478DF295" w14:textId="77777777" w:rsidR="00EC0BC9" w:rsidRPr="006A6B58"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lastRenderedPageBreak/>
        <w:t>A ‘train the trainer’ programme delivered by Lifelines Scotland is nearing completion and will see 50 of our officers and staff from throughout the organisation trained in the facilitation of crucial Lifelines resilience, self-care, supporting colleagues and post trauma support training</w:t>
      </w:r>
      <w:r>
        <w:rPr>
          <w:rFonts w:eastAsiaTheme="majorEastAsia" w:cstheme="majorBidi"/>
          <w:bCs/>
          <w:color w:val="000000" w:themeColor="text1"/>
          <w:szCs w:val="26"/>
        </w:rPr>
        <w:t>.</w:t>
      </w:r>
    </w:p>
    <w:p w14:paraId="2BA0277B" w14:textId="77777777" w:rsidR="00EC0BC9" w:rsidRPr="006A6B58" w:rsidRDefault="00EC0BC9" w:rsidP="00EC0BC9">
      <w:pPr>
        <w:tabs>
          <w:tab w:val="left" w:pos="5400"/>
        </w:tabs>
        <w:rPr>
          <w:rFonts w:eastAsiaTheme="majorEastAsia" w:cstheme="majorBidi"/>
          <w:b/>
          <w:bCs/>
          <w:color w:val="000000" w:themeColor="text1"/>
          <w:szCs w:val="26"/>
          <w:u w:val="single"/>
        </w:rPr>
      </w:pPr>
    </w:p>
    <w:p w14:paraId="3A175BFF" w14:textId="77777777" w:rsidR="00EC0BC9" w:rsidRPr="006A6B58" w:rsidRDefault="00EC0BC9" w:rsidP="00EC0BC9">
      <w:pPr>
        <w:tabs>
          <w:tab w:val="left" w:pos="5400"/>
        </w:tabs>
        <w:rPr>
          <w:rFonts w:eastAsiaTheme="majorEastAsia" w:cstheme="majorBidi"/>
          <w:color w:val="000000" w:themeColor="text1"/>
          <w:szCs w:val="26"/>
          <w:u w:val="single"/>
        </w:rPr>
      </w:pPr>
      <w:r w:rsidRPr="006A6B58">
        <w:rPr>
          <w:rFonts w:eastAsiaTheme="majorEastAsia" w:cstheme="majorBidi"/>
          <w:color w:val="000000" w:themeColor="text1"/>
          <w:szCs w:val="26"/>
          <w:u w:val="single"/>
        </w:rPr>
        <w:t>Suicide Prevention with SAMH (Scottish Association for Mental Health)</w:t>
      </w:r>
    </w:p>
    <w:p w14:paraId="2D3115F6" w14:textId="77777777" w:rsidR="00EC0BC9" w:rsidRPr="006A6B58" w:rsidRDefault="00EC0BC9" w:rsidP="00EC0BC9">
      <w:pPr>
        <w:tabs>
          <w:tab w:val="left" w:pos="5400"/>
        </w:tabs>
        <w:rPr>
          <w:rFonts w:eastAsiaTheme="majorEastAsia" w:cstheme="majorBidi"/>
          <w:color w:val="000000" w:themeColor="text1"/>
          <w:szCs w:val="26"/>
        </w:rPr>
      </w:pPr>
      <w:r w:rsidRPr="006A6B58">
        <w:rPr>
          <w:rFonts w:eastAsiaTheme="majorEastAsia" w:cstheme="majorBidi"/>
          <w:color w:val="000000" w:themeColor="text1"/>
          <w:szCs w:val="26"/>
        </w:rPr>
        <w:t xml:space="preserve">Locally delivered ‘Lunch and Learn’ sessions by SAMH.  </w:t>
      </w:r>
    </w:p>
    <w:p w14:paraId="4F244D6A" w14:textId="77777777" w:rsidR="00EC0BC9" w:rsidRPr="006A6B58" w:rsidRDefault="00EC0BC9" w:rsidP="00EC0BC9">
      <w:pPr>
        <w:tabs>
          <w:tab w:val="left" w:pos="5400"/>
        </w:tabs>
        <w:rPr>
          <w:rFonts w:eastAsiaTheme="majorEastAsia" w:cstheme="majorBidi"/>
          <w:b/>
          <w:color w:val="000000" w:themeColor="text1"/>
          <w:szCs w:val="26"/>
        </w:rPr>
      </w:pPr>
    </w:p>
    <w:p w14:paraId="3EBACD8D" w14:textId="77777777" w:rsidR="00EC0BC9" w:rsidRPr="006A6B58" w:rsidRDefault="00EC0BC9" w:rsidP="00EC0BC9">
      <w:pPr>
        <w:tabs>
          <w:tab w:val="left" w:pos="5400"/>
        </w:tabs>
        <w:rPr>
          <w:rFonts w:eastAsiaTheme="majorEastAsia" w:cstheme="majorBidi"/>
          <w:bCs/>
          <w:color w:val="000000" w:themeColor="text1"/>
          <w:szCs w:val="26"/>
          <w:u w:val="single"/>
        </w:rPr>
      </w:pPr>
      <w:r w:rsidRPr="006A6B58">
        <w:rPr>
          <w:rFonts w:eastAsiaTheme="majorEastAsia" w:cstheme="majorBidi"/>
          <w:bCs/>
          <w:color w:val="000000" w:themeColor="text1"/>
          <w:szCs w:val="26"/>
          <w:u w:val="single"/>
        </w:rPr>
        <w:t>HELP Employee Assistance Programme - Support in crisis and for mental health</w:t>
      </w:r>
    </w:p>
    <w:p w14:paraId="1F6C5F3C" w14:textId="77777777" w:rsidR="00EC0BC9" w:rsidRDefault="00EC0BC9" w:rsidP="00EC0BC9">
      <w:pPr>
        <w:tabs>
          <w:tab w:val="left" w:pos="5400"/>
        </w:tabs>
        <w:rPr>
          <w:rFonts w:eastAsiaTheme="majorEastAsia" w:cstheme="majorBidi"/>
          <w:bCs/>
          <w:color w:val="000000" w:themeColor="text1"/>
          <w:szCs w:val="26"/>
        </w:rPr>
      </w:pPr>
      <w:r w:rsidRPr="006A6B58">
        <w:rPr>
          <w:rFonts w:eastAsiaTheme="majorEastAsia" w:cstheme="majorBidi"/>
          <w:bCs/>
          <w:color w:val="000000" w:themeColor="text1"/>
          <w:szCs w:val="26"/>
        </w:rPr>
        <w:t>Following a mental health assessment</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officers and staff can access 6</w:t>
      </w:r>
      <w:r>
        <w:rPr>
          <w:rFonts w:eastAsiaTheme="majorEastAsia" w:cstheme="majorBidi"/>
          <w:bCs/>
          <w:color w:val="000000" w:themeColor="text1"/>
          <w:szCs w:val="26"/>
        </w:rPr>
        <w:t xml:space="preserve"> to </w:t>
      </w:r>
      <w:r w:rsidRPr="006A6B58">
        <w:rPr>
          <w:rFonts w:eastAsiaTheme="majorEastAsia" w:cstheme="majorBidi"/>
          <w:bCs/>
          <w:color w:val="000000" w:themeColor="text1"/>
          <w:szCs w:val="26"/>
        </w:rPr>
        <w:t>8 sessions of support where this has been deemed appropriate.  If more are required</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the EAP clinical psychologist will review the case and again</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if clinically appropriate</w:t>
      </w:r>
      <w:r>
        <w:rPr>
          <w:rFonts w:eastAsiaTheme="majorEastAsia" w:cstheme="majorBidi"/>
          <w:bCs/>
          <w:color w:val="000000" w:themeColor="text1"/>
          <w:szCs w:val="26"/>
        </w:rPr>
        <w:t>,</w:t>
      </w:r>
      <w:r w:rsidRPr="006A6B58">
        <w:rPr>
          <w:rFonts w:eastAsiaTheme="majorEastAsia" w:cstheme="majorBidi"/>
          <w:bCs/>
          <w:color w:val="000000" w:themeColor="text1"/>
          <w:szCs w:val="26"/>
        </w:rPr>
        <w:t xml:space="preserve"> these will also be provided.  The support provided is specialist trauma focused support TF-CBT/</w:t>
      </w:r>
      <w:r>
        <w:rPr>
          <w:rFonts w:eastAsiaTheme="majorEastAsia" w:cstheme="majorBidi"/>
          <w:bCs/>
          <w:color w:val="000000" w:themeColor="text1"/>
          <w:szCs w:val="26"/>
        </w:rPr>
        <w:t xml:space="preserve"> </w:t>
      </w:r>
      <w:r w:rsidRPr="006A6B58">
        <w:rPr>
          <w:rFonts w:eastAsiaTheme="majorEastAsia" w:cstheme="majorBidi"/>
          <w:bCs/>
          <w:color w:val="000000" w:themeColor="text1"/>
          <w:szCs w:val="26"/>
        </w:rPr>
        <w:t>EMDR sessions for work place trauma.  Officers and staff with symptoms of PTSD for personal trauma will be referred to their GP by EAP for the appropriate support.  The service is available 24/7/365 and include</w:t>
      </w:r>
      <w:r>
        <w:rPr>
          <w:rFonts w:eastAsiaTheme="majorEastAsia" w:cstheme="majorBidi"/>
          <w:bCs/>
          <w:color w:val="000000" w:themeColor="text1"/>
          <w:szCs w:val="26"/>
        </w:rPr>
        <w:t>s</w:t>
      </w:r>
      <w:r w:rsidRPr="006A6B58">
        <w:rPr>
          <w:rFonts w:eastAsiaTheme="majorEastAsia" w:cstheme="majorBidi"/>
          <w:bCs/>
          <w:color w:val="000000" w:themeColor="text1"/>
          <w:szCs w:val="26"/>
        </w:rPr>
        <w:t xml:space="preserve"> family members. </w:t>
      </w:r>
    </w:p>
    <w:p w14:paraId="1B8E3F71" w14:textId="77777777" w:rsidR="00EC0BC9" w:rsidRDefault="00EC0BC9" w:rsidP="00EC0BC9">
      <w:pPr>
        <w:tabs>
          <w:tab w:val="left" w:pos="5400"/>
        </w:tabs>
        <w:rPr>
          <w:rFonts w:eastAsiaTheme="majorEastAsia" w:cstheme="majorBidi"/>
          <w:bCs/>
          <w:color w:val="000000" w:themeColor="text1"/>
          <w:szCs w:val="26"/>
        </w:rPr>
      </w:pPr>
    </w:p>
    <w:p w14:paraId="3B247FD5" w14:textId="77777777" w:rsidR="00EC0BC9" w:rsidRDefault="00EC0BC9" w:rsidP="00EC0BC9">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Moving on to your questions:</w:t>
      </w:r>
    </w:p>
    <w:p w14:paraId="79AF31F8" w14:textId="77777777" w:rsidR="00EC0BC9" w:rsidRDefault="00EC0BC9" w:rsidP="004365BB">
      <w:pPr>
        <w:rPr>
          <w:b/>
        </w:rPr>
      </w:pPr>
    </w:p>
    <w:p w14:paraId="07BD0660" w14:textId="77777777"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I would like to know what figures you hold on the death by suicide of police officers or police staff over the past ten years, by year.</w:t>
      </w:r>
    </w:p>
    <w:p w14:paraId="3CC08619" w14:textId="454A44CF"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advise you that between 2013 and 2023 to date, 14 police officers and 3 police staff have completed suicide, broken down as follows:</w:t>
      </w:r>
    </w:p>
    <w:tbl>
      <w:tblPr>
        <w:tblStyle w:val="TableGrid"/>
        <w:tblW w:w="0" w:type="auto"/>
        <w:tblLook w:val="04A0" w:firstRow="1" w:lastRow="0" w:firstColumn="1" w:lastColumn="0" w:noHBand="0" w:noVBand="1"/>
      </w:tblPr>
      <w:tblGrid>
        <w:gridCol w:w="1470"/>
        <w:gridCol w:w="1018"/>
        <w:gridCol w:w="1020"/>
        <w:gridCol w:w="1020"/>
        <w:gridCol w:w="1020"/>
        <w:gridCol w:w="1020"/>
        <w:gridCol w:w="1020"/>
        <w:gridCol w:w="1020"/>
        <w:gridCol w:w="1020"/>
      </w:tblGrid>
      <w:tr w:rsidR="00A23810" w:rsidRPr="00A23810" w14:paraId="737453B4" w14:textId="77777777" w:rsidTr="00A23810">
        <w:tc>
          <w:tcPr>
            <w:tcW w:w="1069" w:type="dxa"/>
            <w:shd w:val="clear" w:color="auto" w:fill="D9D9D9" w:themeFill="background1" w:themeFillShade="D9"/>
          </w:tcPr>
          <w:p w14:paraId="384E519B" w14:textId="6750731D" w:rsidR="00A23810" w:rsidRPr="00A23810" w:rsidRDefault="00A23810" w:rsidP="00A2381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Year</w:t>
            </w:r>
          </w:p>
        </w:tc>
        <w:tc>
          <w:tcPr>
            <w:tcW w:w="1069" w:type="dxa"/>
            <w:shd w:val="clear" w:color="auto" w:fill="D9D9D9" w:themeFill="background1" w:themeFillShade="D9"/>
          </w:tcPr>
          <w:p w14:paraId="2F9D6952" w14:textId="1EE1E07D"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2013</w:t>
            </w:r>
          </w:p>
        </w:tc>
        <w:tc>
          <w:tcPr>
            <w:tcW w:w="1070" w:type="dxa"/>
            <w:shd w:val="clear" w:color="auto" w:fill="D9D9D9" w:themeFill="background1" w:themeFillShade="D9"/>
          </w:tcPr>
          <w:p w14:paraId="44DE499A" w14:textId="6DFFDCC6"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2014</w:t>
            </w:r>
          </w:p>
        </w:tc>
        <w:tc>
          <w:tcPr>
            <w:tcW w:w="1070" w:type="dxa"/>
            <w:shd w:val="clear" w:color="auto" w:fill="D9D9D9" w:themeFill="background1" w:themeFillShade="D9"/>
          </w:tcPr>
          <w:p w14:paraId="1EBA787B" w14:textId="07208BE7"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2015</w:t>
            </w:r>
          </w:p>
        </w:tc>
        <w:tc>
          <w:tcPr>
            <w:tcW w:w="1070" w:type="dxa"/>
            <w:shd w:val="clear" w:color="auto" w:fill="D9D9D9" w:themeFill="background1" w:themeFillShade="D9"/>
          </w:tcPr>
          <w:p w14:paraId="72ACD0DC" w14:textId="6EEB3610"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2019</w:t>
            </w:r>
          </w:p>
        </w:tc>
        <w:tc>
          <w:tcPr>
            <w:tcW w:w="1070" w:type="dxa"/>
            <w:shd w:val="clear" w:color="auto" w:fill="D9D9D9" w:themeFill="background1" w:themeFillShade="D9"/>
          </w:tcPr>
          <w:p w14:paraId="6AD58161" w14:textId="2C12DCBE"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2020</w:t>
            </w:r>
          </w:p>
        </w:tc>
        <w:tc>
          <w:tcPr>
            <w:tcW w:w="1070" w:type="dxa"/>
            <w:shd w:val="clear" w:color="auto" w:fill="D9D9D9" w:themeFill="background1" w:themeFillShade="D9"/>
          </w:tcPr>
          <w:p w14:paraId="1BD15103" w14:textId="7AE1D8F4"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2021</w:t>
            </w:r>
          </w:p>
        </w:tc>
        <w:tc>
          <w:tcPr>
            <w:tcW w:w="1070" w:type="dxa"/>
            <w:shd w:val="clear" w:color="auto" w:fill="D9D9D9" w:themeFill="background1" w:themeFillShade="D9"/>
          </w:tcPr>
          <w:p w14:paraId="481DB3C9" w14:textId="6B3A81C1"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2022</w:t>
            </w:r>
          </w:p>
        </w:tc>
        <w:tc>
          <w:tcPr>
            <w:tcW w:w="1070" w:type="dxa"/>
            <w:shd w:val="clear" w:color="auto" w:fill="D9D9D9" w:themeFill="background1" w:themeFillShade="D9"/>
          </w:tcPr>
          <w:p w14:paraId="3686FBBD" w14:textId="30FCA85C"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2023</w:t>
            </w:r>
          </w:p>
        </w:tc>
      </w:tr>
      <w:tr w:rsidR="00A23810" w14:paraId="614D7382" w14:textId="77777777" w:rsidTr="00A23810">
        <w:tc>
          <w:tcPr>
            <w:tcW w:w="1069" w:type="dxa"/>
          </w:tcPr>
          <w:p w14:paraId="50BC1C9F" w14:textId="34BA645B" w:rsidR="00A23810" w:rsidRP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t>Individuals</w:t>
            </w:r>
          </w:p>
        </w:tc>
        <w:tc>
          <w:tcPr>
            <w:tcW w:w="1069" w:type="dxa"/>
          </w:tcPr>
          <w:p w14:paraId="5BA2DFE5" w14:textId="5A6DD82D"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12742FC2" w14:textId="6DA8D9BD"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c>
          <w:tcPr>
            <w:tcW w:w="1070" w:type="dxa"/>
          </w:tcPr>
          <w:p w14:paraId="0E58D79B" w14:textId="01B609F8"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070" w:type="dxa"/>
          </w:tcPr>
          <w:p w14:paraId="01541CA5" w14:textId="3FA92E8F"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4</w:t>
            </w:r>
          </w:p>
        </w:tc>
        <w:tc>
          <w:tcPr>
            <w:tcW w:w="1070" w:type="dxa"/>
          </w:tcPr>
          <w:p w14:paraId="12DB966C" w14:textId="586BF805"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c>
          <w:tcPr>
            <w:tcW w:w="1070" w:type="dxa"/>
          </w:tcPr>
          <w:p w14:paraId="0D2674B8" w14:textId="4116C104"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175880C3" w14:textId="20F79132"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395086BB" w14:textId="5489DD5D" w:rsidR="00A23810" w:rsidRDefault="00A23810" w:rsidP="00A2381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r>
    </w:tbl>
    <w:p w14:paraId="7BBCA038" w14:textId="77777777" w:rsidR="00EC0BC9" w:rsidRDefault="00EC0BC9" w:rsidP="00A23810">
      <w:pPr>
        <w:tabs>
          <w:tab w:val="left" w:pos="5400"/>
        </w:tabs>
        <w:rPr>
          <w:rFonts w:eastAsiaTheme="majorEastAsia" w:cstheme="majorBidi"/>
          <w:b/>
          <w:color w:val="000000" w:themeColor="text1"/>
          <w:szCs w:val="26"/>
        </w:rPr>
      </w:pPr>
    </w:p>
    <w:p w14:paraId="655AFED0" w14:textId="77777777" w:rsidR="00EC0BC9" w:rsidRDefault="00EC0BC9">
      <w:pPr>
        <w:rPr>
          <w:rFonts w:eastAsiaTheme="majorEastAsia" w:cstheme="majorBidi"/>
          <w:b/>
          <w:color w:val="000000" w:themeColor="text1"/>
          <w:szCs w:val="26"/>
        </w:rPr>
      </w:pPr>
      <w:r>
        <w:rPr>
          <w:rFonts w:eastAsiaTheme="majorEastAsia" w:cstheme="majorBidi"/>
          <w:b/>
          <w:color w:val="000000" w:themeColor="text1"/>
          <w:szCs w:val="26"/>
        </w:rPr>
        <w:br w:type="page"/>
      </w:r>
    </w:p>
    <w:p w14:paraId="13636A00" w14:textId="0E5B7317" w:rsidR="00A23810" w:rsidRDefault="00A23810" w:rsidP="00A23810">
      <w:pPr>
        <w:tabs>
          <w:tab w:val="left" w:pos="5400"/>
        </w:tabs>
        <w:rPr>
          <w:rFonts w:eastAsiaTheme="majorEastAsia" w:cstheme="majorBidi"/>
          <w:b/>
          <w:color w:val="000000" w:themeColor="text1"/>
          <w:szCs w:val="26"/>
        </w:rPr>
      </w:pPr>
      <w:r w:rsidRPr="00A23810">
        <w:rPr>
          <w:rFonts w:eastAsiaTheme="majorEastAsia" w:cstheme="majorBidi"/>
          <w:b/>
          <w:color w:val="000000" w:themeColor="text1"/>
          <w:szCs w:val="26"/>
        </w:rPr>
        <w:lastRenderedPageBreak/>
        <w:t xml:space="preserve">I would also like to know what figures you hold on absences of officers or staff for reasons related to mental ill-health over the similar ten year period. </w:t>
      </w:r>
    </w:p>
    <w:p w14:paraId="0F48AD88" w14:textId="474FC1E8" w:rsidR="00A23810" w:rsidRPr="00A23810" w:rsidRDefault="00A23810" w:rsidP="00A23810">
      <w:pPr>
        <w:tabs>
          <w:tab w:val="left" w:pos="5400"/>
        </w:tabs>
        <w:rPr>
          <w:rFonts w:eastAsiaTheme="majorEastAsia" w:cstheme="majorBidi"/>
          <w:bCs/>
          <w:color w:val="000000" w:themeColor="text1"/>
          <w:szCs w:val="26"/>
        </w:rPr>
      </w:pPr>
      <w:r w:rsidRPr="00A23810">
        <w:rPr>
          <w:rFonts w:eastAsiaTheme="majorEastAsia" w:cstheme="majorBidi"/>
          <w:bCs/>
          <w:color w:val="000000" w:themeColor="text1"/>
          <w:szCs w:val="26"/>
        </w:rPr>
        <w:t>The table below details officers and staff members absent due to psychological disorders:</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413"/>
        <w:gridCol w:w="1897"/>
        <w:gridCol w:w="1930"/>
      </w:tblGrid>
      <w:tr w:rsidR="00A23810" w:rsidRPr="00A23810" w14:paraId="74C992CC" w14:textId="77777777" w:rsidTr="00A23810">
        <w:trPr>
          <w:trHeight w:val="300"/>
        </w:trPr>
        <w:tc>
          <w:tcPr>
            <w:tcW w:w="1413" w:type="dxa"/>
            <w:shd w:val="clear" w:color="auto" w:fill="D9D9D9" w:themeFill="background1" w:themeFillShade="D9"/>
            <w:noWrap/>
            <w:vAlign w:val="bottom"/>
            <w:hideMark/>
          </w:tcPr>
          <w:p w14:paraId="384D7371" w14:textId="77777777" w:rsidR="00A23810" w:rsidRPr="00A23810" w:rsidRDefault="00A23810" w:rsidP="00A23810">
            <w:pPr>
              <w:tabs>
                <w:tab w:val="left" w:pos="5400"/>
              </w:tabs>
              <w:spacing w:line="276" w:lineRule="auto"/>
              <w:rPr>
                <w:b/>
                <w:bCs/>
              </w:rPr>
            </w:pPr>
            <w:r w:rsidRPr="00A23810">
              <w:rPr>
                <w:b/>
                <w:bCs/>
              </w:rPr>
              <w:t>Year</w:t>
            </w:r>
          </w:p>
        </w:tc>
        <w:tc>
          <w:tcPr>
            <w:tcW w:w="1897" w:type="dxa"/>
            <w:shd w:val="clear" w:color="auto" w:fill="D9D9D9" w:themeFill="background1" w:themeFillShade="D9"/>
            <w:noWrap/>
            <w:vAlign w:val="bottom"/>
            <w:hideMark/>
          </w:tcPr>
          <w:p w14:paraId="0E528960" w14:textId="77777777" w:rsidR="00A23810" w:rsidRPr="00A23810" w:rsidRDefault="00A23810" w:rsidP="00A23810">
            <w:pPr>
              <w:tabs>
                <w:tab w:val="left" w:pos="5400"/>
              </w:tabs>
              <w:spacing w:line="276" w:lineRule="auto"/>
              <w:rPr>
                <w:b/>
                <w:bCs/>
              </w:rPr>
            </w:pPr>
            <w:r w:rsidRPr="00A23810">
              <w:rPr>
                <w:b/>
                <w:bCs/>
              </w:rPr>
              <w:t>Police Officer</w:t>
            </w:r>
          </w:p>
        </w:tc>
        <w:tc>
          <w:tcPr>
            <w:tcW w:w="1930" w:type="dxa"/>
            <w:shd w:val="clear" w:color="auto" w:fill="D9D9D9" w:themeFill="background1" w:themeFillShade="D9"/>
            <w:noWrap/>
            <w:vAlign w:val="bottom"/>
            <w:hideMark/>
          </w:tcPr>
          <w:p w14:paraId="0F6CDAC1" w14:textId="77777777" w:rsidR="00A23810" w:rsidRPr="00A23810" w:rsidRDefault="00A23810" w:rsidP="00A23810">
            <w:pPr>
              <w:tabs>
                <w:tab w:val="left" w:pos="5400"/>
              </w:tabs>
              <w:spacing w:line="276" w:lineRule="auto"/>
              <w:rPr>
                <w:b/>
                <w:bCs/>
              </w:rPr>
            </w:pPr>
            <w:r w:rsidRPr="00A23810">
              <w:rPr>
                <w:b/>
                <w:bCs/>
              </w:rPr>
              <w:t>Police Staff</w:t>
            </w:r>
          </w:p>
        </w:tc>
      </w:tr>
      <w:tr w:rsidR="00A23810" w:rsidRPr="00A23810" w14:paraId="0D2BC937" w14:textId="77777777" w:rsidTr="00A23810">
        <w:trPr>
          <w:trHeight w:val="300"/>
        </w:trPr>
        <w:tc>
          <w:tcPr>
            <w:tcW w:w="1413" w:type="dxa"/>
            <w:shd w:val="clear" w:color="auto" w:fill="auto"/>
            <w:noWrap/>
            <w:vAlign w:val="bottom"/>
            <w:hideMark/>
          </w:tcPr>
          <w:p w14:paraId="74118A67" w14:textId="77777777" w:rsidR="00A23810" w:rsidRPr="00A23810" w:rsidRDefault="00A23810" w:rsidP="00A23810">
            <w:pPr>
              <w:tabs>
                <w:tab w:val="left" w:pos="5400"/>
              </w:tabs>
              <w:spacing w:line="276" w:lineRule="auto"/>
            </w:pPr>
            <w:r w:rsidRPr="00A23810">
              <w:t>2022/23</w:t>
            </w:r>
          </w:p>
        </w:tc>
        <w:tc>
          <w:tcPr>
            <w:tcW w:w="1897" w:type="dxa"/>
            <w:shd w:val="clear" w:color="auto" w:fill="auto"/>
            <w:noWrap/>
            <w:vAlign w:val="bottom"/>
            <w:hideMark/>
          </w:tcPr>
          <w:p w14:paraId="5FF779A4" w14:textId="77777777" w:rsidR="00A23810" w:rsidRPr="00A23810" w:rsidRDefault="00A23810" w:rsidP="00A23810">
            <w:pPr>
              <w:tabs>
                <w:tab w:val="left" w:pos="5400"/>
              </w:tabs>
              <w:spacing w:line="276" w:lineRule="auto"/>
            </w:pPr>
            <w:r w:rsidRPr="00A23810">
              <w:t>1154</w:t>
            </w:r>
          </w:p>
        </w:tc>
        <w:tc>
          <w:tcPr>
            <w:tcW w:w="1930" w:type="dxa"/>
            <w:shd w:val="clear" w:color="auto" w:fill="auto"/>
            <w:noWrap/>
            <w:vAlign w:val="bottom"/>
            <w:hideMark/>
          </w:tcPr>
          <w:p w14:paraId="34027BE5" w14:textId="77777777" w:rsidR="00A23810" w:rsidRPr="00A23810" w:rsidRDefault="00A23810" w:rsidP="00A23810">
            <w:pPr>
              <w:tabs>
                <w:tab w:val="left" w:pos="5400"/>
              </w:tabs>
              <w:spacing w:line="276" w:lineRule="auto"/>
            </w:pPr>
            <w:r w:rsidRPr="00A23810">
              <w:t>629</w:t>
            </w:r>
          </w:p>
        </w:tc>
      </w:tr>
      <w:tr w:rsidR="00A23810" w:rsidRPr="00A23810" w14:paraId="2D5A3DEA" w14:textId="77777777" w:rsidTr="00A23810">
        <w:trPr>
          <w:trHeight w:val="300"/>
        </w:trPr>
        <w:tc>
          <w:tcPr>
            <w:tcW w:w="1413" w:type="dxa"/>
            <w:shd w:val="clear" w:color="auto" w:fill="auto"/>
            <w:noWrap/>
            <w:vAlign w:val="bottom"/>
            <w:hideMark/>
          </w:tcPr>
          <w:p w14:paraId="63D2EF1D" w14:textId="77777777" w:rsidR="00A23810" w:rsidRPr="00A23810" w:rsidRDefault="00A23810" w:rsidP="00A23810">
            <w:pPr>
              <w:tabs>
                <w:tab w:val="left" w:pos="5400"/>
              </w:tabs>
              <w:spacing w:line="276" w:lineRule="auto"/>
            </w:pPr>
            <w:r w:rsidRPr="00A23810">
              <w:t>2021/22</w:t>
            </w:r>
          </w:p>
        </w:tc>
        <w:tc>
          <w:tcPr>
            <w:tcW w:w="1897" w:type="dxa"/>
            <w:shd w:val="clear" w:color="auto" w:fill="auto"/>
            <w:noWrap/>
            <w:vAlign w:val="bottom"/>
            <w:hideMark/>
          </w:tcPr>
          <w:p w14:paraId="2E2C04DA" w14:textId="77777777" w:rsidR="00A23810" w:rsidRPr="00A23810" w:rsidRDefault="00A23810" w:rsidP="00A23810">
            <w:pPr>
              <w:tabs>
                <w:tab w:val="left" w:pos="5400"/>
              </w:tabs>
              <w:spacing w:line="276" w:lineRule="auto"/>
            </w:pPr>
            <w:r w:rsidRPr="00A23810">
              <w:t>928</w:t>
            </w:r>
          </w:p>
        </w:tc>
        <w:tc>
          <w:tcPr>
            <w:tcW w:w="1930" w:type="dxa"/>
            <w:shd w:val="clear" w:color="auto" w:fill="auto"/>
            <w:noWrap/>
            <w:vAlign w:val="bottom"/>
            <w:hideMark/>
          </w:tcPr>
          <w:p w14:paraId="69C2E673" w14:textId="77777777" w:rsidR="00A23810" w:rsidRPr="00A23810" w:rsidRDefault="00A23810" w:rsidP="00A23810">
            <w:pPr>
              <w:tabs>
                <w:tab w:val="left" w:pos="5400"/>
              </w:tabs>
              <w:spacing w:line="276" w:lineRule="auto"/>
            </w:pPr>
            <w:r w:rsidRPr="00A23810">
              <w:t>595</w:t>
            </w:r>
          </w:p>
        </w:tc>
      </w:tr>
      <w:tr w:rsidR="00A23810" w:rsidRPr="00A23810" w14:paraId="5431AAB0" w14:textId="77777777" w:rsidTr="00A23810">
        <w:trPr>
          <w:trHeight w:val="300"/>
        </w:trPr>
        <w:tc>
          <w:tcPr>
            <w:tcW w:w="1413" w:type="dxa"/>
            <w:shd w:val="clear" w:color="auto" w:fill="auto"/>
            <w:noWrap/>
            <w:vAlign w:val="bottom"/>
            <w:hideMark/>
          </w:tcPr>
          <w:p w14:paraId="7A0604C8" w14:textId="77777777" w:rsidR="00A23810" w:rsidRPr="00A23810" w:rsidRDefault="00A23810" w:rsidP="00A23810">
            <w:pPr>
              <w:tabs>
                <w:tab w:val="left" w:pos="5400"/>
              </w:tabs>
              <w:spacing w:line="276" w:lineRule="auto"/>
            </w:pPr>
            <w:r w:rsidRPr="00A23810">
              <w:t>2020/21</w:t>
            </w:r>
          </w:p>
        </w:tc>
        <w:tc>
          <w:tcPr>
            <w:tcW w:w="1897" w:type="dxa"/>
            <w:shd w:val="clear" w:color="auto" w:fill="auto"/>
            <w:noWrap/>
            <w:vAlign w:val="bottom"/>
            <w:hideMark/>
          </w:tcPr>
          <w:p w14:paraId="53F2777F" w14:textId="77777777" w:rsidR="00A23810" w:rsidRPr="00A23810" w:rsidRDefault="00A23810" w:rsidP="00A23810">
            <w:pPr>
              <w:tabs>
                <w:tab w:val="left" w:pos="5400"/>
              </w:tabs>
              <w:spacing w:line="276" w:lineRule="auto"/>
            </w:pPr>
            <w:r w:rsidRPr="00A23810">
              <w:t>833</w:t>
            </w:r>
          </w:p>
        </w:tc>
        <w:tc>
          <w:tcPr>
            <w:tcW w:w="1930" w:type="dxa"/>
            <w:shd w:val="clear" w:color="auto" w:fill="auto"/>
            <w:noWrap/>
            <w:vAlign w:val="bottom"/>
            <w:hideMark/>
          </w:tcPr>
          <w:p w14:paraId="17DF334F" w14:textId="77777777" w:rsidR="00A23810" w:rsidRPr="00A23810" w:rsidRDefault="00A23810" w:rsidP="00A23810">
            <w:pPr>
              <w:tabs>
                <w:tab w:val="left" w:pos="5400"/>
              </w:tabs>
              <w:spacing w:line="276" w:lineRule="auto"/>
            </w:pPr>
            <w:r w:rsidRPr="00A23810">
              <w:t>603</w:t>
            </w:r>
          </w:p>
        </w:tc>
      </w:tr>
      <w:tr w:rsidR="00A23810" w:rsidRPr="00A23810" w14:paraId="3D4EA82E" w14:textId="77777777" w:rsidTr="00A23810">
        <w:trPr>
          <w:trHeight w:val="300"/>
        </w:trPr>
        <w:tc>
          <w:tcPr>
            <w:tcW w:w="1413" w:type="dxa"/>
            <w:shd w:val="clear" w:color="auto" w:fill="auto"/>
            <w:noWrap/>
            <w:vAlign w:val="bottom"/>
            <w:hideMark/>
          </w:tcPr>
          <w:p w14:paraId="106DFF00" w14:textId="77777777" w:rsidR="00A23810" w:rsidRPr="00A23810" w:rsidRDefault="00A23810" w:rsidP="00A23810">
            <w:pPr>
              <w:tabs>
                <w:tab w:val="left" w:pos="5400"/>
              </w:tabs>
              <w:spacing w:line="276" w:lineRule="auto"/>
            </w:pPr>
            <w:r w:rsidRPr="00A23810">
              <w:t>2019/20</w:t>
            </w:r>
          </w:p>
        </w:tc>
        <w:tc>
          <w:tcPr>
            <w:tcW w:w="1897" w:type="dxa"/>
            <w:shd w:val="clear" w:color="auto" w:fill="auto"/>
            <w:noWrap/>
            <w:vAlign w:val="bottom"/>
            <w:hideMark/>
          </w:tcPr>
          <w:p w14:paraId="66DC6D67" w14:textId="77777777" w:rsidR="00A23810" w:rsidRPr="00A23810" w:rsidRDefault="00A23810" w:rsidP="00A23810">
            <w:pPr>
              <w:tabs>
                <w:tab w:val="left" w:pos="5400"/>
              </w:tabs>
              <w:spacing w:line="276" w:lineRule="auto"/>
            </w:pPr>
            <w:r w:rsidRPr="00A23810">
              <w:t>846</w:t>
            </w:r>
          </w:p>
        </w:tc>
        <w:tc>
          <w:tcPr>
            <w:tcW w:w="1930" w:type="dxa"/>
            <w:shd w:val="clear" w:color="auto" w:fill="auto"/>
            <w:noWrap/>
            <w:vAlign w:val="bottom"/>
            <w:hideMark/>
          </w:tcPr>
          <w:p w14:paraId="315DF06B" w14:textId="77777777" w:rsidR="00A23810" w:rsidRPr="00A23810" w:rsidRDefault="00A23810" w:rsidP="00A23810">
            <w:pPr>
              <w:tabs>
                <w:tab w:val="left" w:pos="5400"/>
              </w:tabs>
              <w:spacing w:line="276" w:lineRule="auto"/>
            </w:pPr>
            <w:r w:rsidRPr="00A23810">
              <w:t>500</w:t>
            </w:r>
          </w:p>
        </w:tc>
      </w:tr>
      <w:tr w:rsidR="00A23810" w:rsidRPr="00A23810" w14:paraId="68F64D2E" w14:textId="77777777" w:rsidTr="00A23810">
        <w:trPr>
          <w:trHeight w:val="300"/>
        </w:trPr>
        <w:tc>
          <w:tcPr>
            <w:tcW w:w="1413" w:type="dxa"/>
            <w:shd w:val="clear" w:color="auto" w:fill="auto"/>
            <w:noWrap/>
            <w:vAlign w:val="bottom"/>
            <w:hideMark/>
          </w:tcPr>
          <w:p w14:paraId="0D96C43B" w14:textId="77777777" w:rsidR="00A23810" w:rsidRPr="00A23810" w:rsidRDefault="00A23810" w:rsidP="00A23810">
            <w:pPr>
              <w:tabs>
                <w:tab w:val="left" w:pos="5400"/>
              </w:tabs>
              <w:spacing w:line="276" w:lineRule="auto"/>
            </w:pPr>
            <w:r w:rsidRPr="00A23810">
              <w:t>2018/19</w:t>
            </w:r>
          </w:p>
        </w:tc>
        <w:tc>
          <w:tcPr>
            <w:tcW w:w="1897" w:type="dxa"/>
            <w:shd w:val="clear" w:color="auto" w:fill="auto"/>
            <w:noWrap/>
            <w:vAlign w:val="bottom"/>
            <w:hideMark/>
          </w:tcPr>
          <w:p w14:paraId="6BF2C4E7" w14:textId="77777777" w:rsidR="00A23810" w:rsidRPr="00A23810" w:rsidRDefault="00A23810" w:rsidP="00A23810">
            <w:pPr>
              <w:tabs>
                <w:tab w:val="left" w:pos="5400"/>
              </w:tabs>
              <w:spacing w:line="276" w:lineRule="auto"/>
            </w:pPr>
            <w:r w:rsidRPr="00A23810">
              <w:t>689</w:t>
            </w:r>
          </w:p>
        </w:tc>
        <w:tc>
          <w:tcPr>
            <w:tcW w:w="1930" w:type="dxa"/>
            <w:shd w:val="clear" w:color="auto" w:fill="auto"/>
            <w:noWrap/>
            <w:vAlign w:val="bottom"/>
            <w:hideMark/>
          </w:tcPr>
          <w:p w14:paraId="5B78B7F8" w14:textId="77777777" w:rsidR="00A23810" w:rsidRPr="00A23810" w:rsidRDefault="00A23810" w:rsidP="00A23810">
            <w:pPr>
              <w:tabs>
                <w:tab w:val="left" w:pos="5400"/>
              </w:tabs>
              <w:spacing w:line="276" w:lineRule="auto"/>
            </w:pPr>
            <w:r w:rsidRPr="00A23810">
              <w:t>196</w:t>
            </w:r>
          </w:p>
        </w:tc>
      </w:tr>
      <w:tr w:rsidR="00A23810" w:rsidRPr="00A23810" w14:paraId="08179925" w14:textId="77777777" w:rsidTr="00A23810">
        <w:trPr>
          <w:trHeight w:val="300"/>
        </w:trPr>
        <w:tc>
          <w:tcPr>
            <w:tcW w:w="1413" w:type="dxa"/>
            <w:shd w:val="clear" w:color="auto" w:fill="auto"/>
            <w:noWrap/>
            <w:vAlign w:val="bottom"/>
            <w:hideMark/>
          </w:tcPr>
          <w:p w14:paraId="4BFBBD18" w14:textId="77777777" w:rsidR="00A23810" w:rsidRPr="00A23810" w:rsidRDefault="00A23810" w:rsidP="00A23810">
            <w:pPr>
              <w:tabs>
                <w:tab w:val="left" w:pos="5400"/>
              </w:tabs>
              <w:spacing w:line="276" w:lineRule="auto"/>
            </w:pPr>
            <w:r w:rsidRPr="00A23810">
              <w:t>2017/18</w:t>
            </w:r>
          </w:p>
        </w:tc>
        <w:tc>
          <w:tcPr>
            <w:tcW w:w="1897" w:type="dxa"/>
            <w:shd w:val="clear" w:color="auto" w:fill="auto"/>
            <w:noWrap/>
            <w:vAlign w:val="bottom"/>
            <w:hideMark/>
          </w:tcPr>
          <w:p w14:paraId="13922454" w14:textId="77777777" w:rsidR="00A23810" w:rsidRPr="00A23810" w:rsidRDefault="00A23810" w:rsidP="00A23810">
            <w:pPr>
              <w:tabs>
                <w:tab w:val="left" w:pos="5400"/>
              </w:tabs>
              <w:spacing w:line="276" w:lineRule="auto"/>
            </w:pPr>
            <w:r w:rsidRPr="00A23810">
              <w:t>679</w:t>
            </w:r>
          </w:p>
        </w:tc>
        <w:tc>
          <w:tcPr>
            <w:tcW w:w="1930" w:type="dxa"/>
            <w:shd w:val="clear" w:color="auto" w:fill="auto"/>
            <w:noWrap/>
            <w:vAlign w:val="bottom"/>
            <w:hideMark/>
          </w:tcPr>
          <w:p w14:paraId="68885F7D" w14:textId="77777777" w:rsidR="00A23810" w:rsidRPr="00A23810" w:rsidRDefault="00A23810" w:rsidP="00A23810">
            <w:pPr>
              <w:tabs>
                <w:tab w:val="left" w:pos="5400"/>
              </w:tabs>
              <w:spacing w:line="276" w:lineRule="auto"/>
            </w:pPr>
            <w:r w:rsidRPr="00A23810">
              <w:t>220</w:t>
            </w:r>
          </w:p>
        </w:tc>
      </w:tr>
      <w:tr w:rsidR="00A23810" w:rsidRPr="00A23810" w14:paraId="7485022B" w14:textId="77777777" w:rsidTr="00A23810">
        <w:trPr>
          <w:trHeight w:val="300"/>
        </w:trPr>
        <w:tc>
          <w:tcPr>
            <w:tcW w:w="1413" w:type="dxa"/>
            <w:shd w:val="clear" w:color="auto" w:fill="auto"/>
            <w:noWrap/>
            <w:vAlign w:val="bottom"/>
            <w:hideMark/>
          </w:tcPr>
          <w:p w14:paraId="0C5AC7B5" w14:textId="77777777" w:rsidR="00A23810" w:rsidRPr="00A23810" w:rsidRDefault="00A23810" w:rsidP="00A23810">
            <w:pPr>
              <w:tabs>
                <w:tab w:val="left" w:pos="5400"/>
              </w:tabs>
              <w:spacing w:line="276" w:lineRule="auto"/>
            </w:pPr>
            <w:r w:rsidRPr="00A23810">
              <w:t>2016/17</w:t>
            </w:r>
          </w:p>
        </w:tc>
        <w:tc>
          <w:tcPr>
            <w:tcW w:w="1897" w:type="dxa"/>
            <w:shd w:val="clear" w:color="auto" w:fill="auto"/>
            <w:noWrap/>
            <w:vAlign w:val="bottom"/>
            <w:hideMark/>
          </w:tcPr>
          <w:p w14:paraId="11AC2520" w14:textId="77777777" w:rsidR="00A23810" w:rsidRPr="00A23810" w:rsidRDefault="00A23810" w:rsidP="00A23810">
            <w:pPr>
              <w:tabs>
                <w:tab w:val="left" w:pos="5400"/>
              </w:tabs>
              <w:spacing w:line="276" w:lineRule="auto"/>
            </w:pPr>
            <w:r w:rsidRPr="00A23810">
              <w:t>630</w:t>
            </w:r>
          </w:p>
        </w:tc>
        <w:tc>
          <w:tcPr>
            <w:tcW w:w="1930" w:type="dxa"/>
            <w:shd w:val="clear" w:color="auto" w:fill="auto"/>
            <w:noWrap/>
            <w:vAlign w:val="bottom"/>
            <w:hideMark/>
          </w:tcPr>
          <w:p w14:paraId="14190336" w14:textId="77777777" w:rsidR="00A23810" w:rsidRPr="00A23810" w:rsidRDefault="00A23810" w:rsidP="00A23810">
            <w:pPr>
              <w:tabs>
                <w:tab w:val="left" w:pos="5400"/>
              </w:tabs>
              <w:spacing w:line="276" w:lineRule="auto"/>
            </w:pPr>
            <w:r w:rsidRPr="00A23810">
              <w:t>280</w:t>
            </w:r>
          </w:p>
        </w:tc>
      </w:tr>
      <w:tr w:rsidR="00A23810" w:rsidRPr="00A23810" w14:paraId="0B4604F7" w14:textId="77777777" w:rsidTr="00A23810">
        <w:trPr>
          <w:trHeight w:val="300"/>
        </w:trPr>
        <w:tc>
          <w:tcPr>
            <w:tcW w:w="1413" w:type="dxa"/>
            <w:shd w:val="clear" w:color="auto" w:fill="auto"/>
            <w:noWrap/>
            <w:vAlign w:val="bottom"/>
            <w:hideMark/>
          </w:tcPr>
          <w:p w14:paraId="2DB124EE" w14:textId="77777777" w:rsidR="00A23810" w:rsidRPr="00A23810" w:rsidRDefault="00A23810" w:rsidP="00A23810">
            <w:pPr>
              <w:tabs>
                <w:tab w:val="left" w:pos="5400"/>
              </w:tabs>
              <w:spacing w:line="276" w:lineRule="auto"/>
            </w:pPr>
            <w:r w:rsidRPr="00A23810">
              <w:t>2015/16</w:t>
            </w:r>
          </w:p>
        </w:tc>
        <w:tc>
          <w:tcPr>
            <w:tcW w:w="1897" w:type="dxa"/>
            <w:shd w:val="clear" w:color="auto" w:fill="auto"/>
            <w:noWrap/>
            <w:vAlign w:val="bottom"/>
            <w:hideMark/>
          </w:tcPr>
          <w:p w14:paraId="7FE29B4B" w14:textId="77777777" w:rsidR="00A23810" w:rsidRPr="00A23810" w:rsidRDefault="00A23810" w:rsidP="00A23810">
            <w:pPr>
              <w:tabs>
                <w:tab w:val="left" w:pos="5400"/>
              </w:tabs>
              <w:spacing w:line="276" w:lineRule="auto"/>
            </w:pPr>
            <w:r w:rsidRPr="00A23810">
              <w:t>613</w:t>
            </w:r>
          </w:p>
        </w:tc>
        <w:tc>
          <w:tcPr>
            <w:tcW w:w="1930" w:type="dxa"/>
            <w:shd w:val="clear" w:color="auto" w:fill="auto"/>
            <w:noWrap/>
            <w:vAlign w:val="bottom"/>
            <w:hideMark/>
          </w:tcPr>
          <w:p w14:paraId="336C8E79" w14:textId="77777777" w:rsidR="00A23810" w:rsidRPr="00A23810" w:rsidRDefault="00A23810" w:rsidP="00A23810">
            <w:pPr>
              <w:tabs>
                <w:tab w:val="left" w:pos="5400"/>
              </w:tabs>
              <w:spacing w:line="276" w:lineRule="auto"/>
            </w:pPr>
            <w:r w:rsidRPr="00A23810">
              <w:t>222</w:t>
            </w:r>
          </w:p>
        </w:tc>
      </w:tr>
    </w:tbl>
    <w:p w14:paraId="48FCB264" w14:textId="77777777" w:rsidR="00EC0BC9" w:rsidRDefault="00EC0BC9" w:rsidP="00A23810">
      <w:pPr>
        <w:tabs>
          <w:tab w:val="left" w:pos="5400"/>
        </w:tabs>
      </w:pPr>
    </w:p>
    <w:p w14:paraId="1F738EED" w14:textId="1617EBD2" w:rsidR="00A23810" w:rsidRDefault="00A23810" w:rsidP="00A23810">
      <w:pPr>
        <w:tabs>
          <w:tab w:val="left" w:pos="5400"/>
        </w:tabs>
      </w:pPr>
      <w:r>
        <w:t xml:space="preserve">The </w:t>
      </w:r>
      <w:r w:rsidR="00EC0BC9">
        <w:t xml:space="preserve">absence </w:t>
      </w:r>
      <w:r>
        <w:t xml:space="preserve">data </w:t>
      </w:r>
      <w:r w:rsidR="00EC0BC9">
        <w:t>above</w:t>
      </w:r>
      <w:r>
        <w:t xml:space="preserve"> has been extracted from Police Scotland’s System to Co-ordination Personnel and Establishment (SCOPE)</w:t>
      </w:r>
      <w:r w:rsidR="00EC0BC9">
        <w:t xml:space="preserve">.  </w:t>
      </w:r>
      <w:r>
        <w:t xml:space="preserve">Police Scotland came into existence on 1 April 2013 and inherited a diverse range of functions, structures and responsibilities along with a substantial restructuring process. </w:t>
      </w:r>
    </w:p>
    <w:p w14:paraId="6ED17549" w14:textId="07F118DB" w:rsidR="00A23810" w:rsidRDefault="00A23810" w:rsidP="00A23810">
      <w:pPr>
        <w:tabs>
          <w:tab w:val="left" w:pos="5400"/>
        </w:tabs>
      </w:pPr>
      <w:r>
        <w:t xml:space="preserve">Absence Statistics prior to Police Scotland’s existence </w:t>
      </w:r>
      <w:r w:rsidR="00EC0BC9">
        <w:t>were</w:t>
      </w:r>
      <w:r>
        <w:t xml:space="preserve"> recorded on the basis of legacy structure and as a result of the amalgamation of different systems across Scotland, no data is available until April 2015 onwards. </w:t>
      </w:r>
    </w:p>
    <w:p w14:paraId="54C3D0A2" w14:textId="748D5D1D" w:rsidR="00FB4D46" w:rsidRDefault="00A23810" w:rsidP="00A23810">
      <w:pPr>
        <w:tabs>
          <w:tab w:val="left" w:pos="5400"/>
        </w:tabs>
      </w:pPr>
      <w:r>
        <w:t>Please note that due to improvements in reporting protocols, 2021/22 provides the first true reflection of absence.</w:t>
      </w:r>
    </w:p>
    <w:p w14:paraId="552DA00F" w14:textId="77777777" w:rsidR="00A23810" w:rsidRPr="00B11A55" w:rsidRDefault="00A23810"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7FCD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16262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59FE2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6182E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0AF21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950D9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93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0DB6"/>
    <w:multiLevelType w:val="hybridMultilevel"/>
    <w:tmpl w:val="7428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18227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72933"/>
    <w:rsid w:val="002F7717"/>
    <w:rsid w:val="0036503B"/>
    <w:rsid w:val="003C5E5D"/>
    <w:rsid w:val="003D6D03"/>
    <w:rsid w:val="003E12CA"/>
    <w:rsid w:val="004010DC"/>
    <w:rsid w:val="004341F0"/>
    <w:rsid w:val="00456324"/>
    <w:rsid w:val="00475460"/>
    <w:rsid w:val="00490317"/>
    <w:rsid w:val="00491644"/>
    <w:rsid w:val="00496A08"/>
    <w:rsid w:val="004E1605"/>
    <w:rsid w:val="004F653C"/>
    <w:rsid w:val="00540A52"/>
    <w:rsid w:val="00557306"/>
    <w:rsid w:val="005F500F"/>
    <w:rsid w:val="006D5799"/>
    <w:rsid w:val="00750D83"/>
    <w:rsid w:val="00773841"/>
    <w:rsid w:val="00793DD5"/>
    <w:rsid w:val="007D55F6"/>
    <w:rsid w:val="007F490F"/>
    <w:rsid w:val="0086779C"/>
    <w:rsid w:val="00874BFD"/>
    <w:rsid w:val="008964EF"/>
    <w:rsid w:val="009631A4"/>
    <w:rsid w:val="00977296"/>
    <w:rsid w:val="00A23810"/>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41DE0"/>
    <w:rsid w:val="00E55D79"/>
    <w:rsid w:val="00EA2597"/>
    <w:rsid w:val="00EC0468"/>
    <w:rsid w:val="00EC0BC9"/>
    <w:rsid w:val="00EE2373"/>
    <w:rsid w:val="00EF4761"/>
    <w:rsid w:val="00FB4D4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339">
      <w:bodyDiv w:val="1"/>
      <w:marLeft w:val="0"/>
      <w:marRight w:val="0"/>
      <w:marTop w:val="0"/>
      <w:marBottom w:val="0"/>
      <w:divBdr>
        <w:top w:val="none" w:sz="0" w:space="0" w:color="auto"/>
        <w:left w:val="none" w:sz="0" w:space="0" w:color="auto"/>
        <w:bottom w:val="none" w:sz="0" w:space="0" w:color="auto"/>
        <w:right w:val="none" w:sz="0" w:space="0" w:color="auto"/>
      </w:divBdr>
    </w:div>
    <w:div w:id="298649165">
      <w:bodyDiv w:val="1"/>
      <w:marLeft w:val="0"/>
      <w:marRight w:val="0"/>
      <w:marTop w:val="0"/>
      <w:marBottom w:val="0"/>
      <w:divBdr>
        <w:top w:val="none" w:sz="0" w:space="0" w:color="auto"/>
        <w:left w:val="none" w:sz="0" w:space="0" w:color="auto"/>
        <w:bottom w:val="none" w:sz="0" w:space="0" w:color="auto"/>
        <w:right w:val="none" w:sz="0" w:space="0" w:color="auto"/>
      </w:divBdr>
    </w:div>
    <w:div w:id="678822158">
      <w:bodyDiv w:val="1"/>
      <w:marLeft w:val="0"/>
      <w:marRight w:val="0"/>
      <w:marTop w:val="0"/>
      <w:marBottom w:val="0"/>
      <w:divBdr>
        <w:top w:val="none" w:sz="0" w:space="0" w:color="auto"/>
        <w:left w:val="none" w:sz="0" w:space="0" w:color="auto"/>
        <w:bottom w:val="none" w:sz="0" w:space="0" w:color="auto"/>
        <w:right w:val="none" w:sz="0" w:space="0" w:color="auto"/>
      </w:divBdr>
    </w:div>
    <w:div w:id="911742173">
      <w:bodyDiv w:val="1"/>
      <w:marLeft w:val="0"/>
      <w:marRight w:val="0"/>
      <w:marTop w:val="0"/>
      <w:marBottom w:val="0"/>
      <w:divBdr>
        <w:top w:val="none" w:sz="0" w:space="0" w:color="auto"/>
        <w:left w:val="none" w:sz="0" w:space="0" w:color="auto"/>
        <w:bottom w:val="none" w:sz="0" w:space="0" w:color="auto"/>
        <w:right w:val="none" w:sz="0" w:space="0" w:color="auto"/>
      </w:divBdr>
    </w:div>
    <w:div w:id="1517692781">
      <w:bodyDiv w:val="1"/>
      <w:marLeft w:val="0"/>
      <w:marRight w:val="0"/>
      <w:marTop w:val="0"/>
      <w:marBottom w:val="0"/>
      <w:divBdr>
        <w:top w:val="none" w:sz="0" w:space="0" w:color="auto"/>
        <w:left w:val="none" w:sz="0" w:space="0" w:color="auto"/>
        <w:bottom w:val="none" w:sz="0" w:space="0" w:color="auto"/>
        <w:right w:val="none" w:sz="0" w:space="0" w:color="auto"/>
      </w:divBdr>
    </w:div>
    <w:div w:id="1584148404">
      <w:bodyDiv w:val="1"/>
      <w:marLeft w:val="0"/>
      <w:marRight w:val="0"/>
      <w:marTop w:val="0"/>
      <w:marBottom w:val="0"/>
      <w:divBdr>
        <w:top w:val="none" w:sz="0" w:space="0" w:color="auto"/>
        <w:left w:val="none" w:sz="0" w:space="0" w:color="auto"/>
        <w:bottom w:val="none" w:sz="0" w:space="0" w:color="auto"/>
        <w:right w:val="none" w:sz="0" w:space="0" w:color="auto"/>
      </w:divBdr>
    </w:div>
    <w:div w:id="18360712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1103</Words>
  <Characters>6291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