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499C914E" w:rsidR="00B17211" w:rsidRPr="00B17211" w:rsidRDefault="00B17211" w:rsidP="007F490F">
            <w:r w:rsidRPr="007F490F">
              <w:rPr>
                <w:rStyle w:val="Heading2Char"/>
              </w:rPr>
              <w:t>Our reference:</w:t>
            </w:r>
            <w:r>
              <w:t xml:space="preserve">  FOI 2</w:t>
            </w:r>
            <w:r w:rsidR="00AC443C">
              <w:t>3</w:t>
            </w:r>
            <w:r>
              <w:t>-</w:t>
            </w:r>
            <w:r w:rsidR="00D209D8">
              <w:t>2135</w:t>
            </w:r>
          </w:p>
          <w:p w14:paraId="5979BB04" w14:textId="36563814" w:rsidR="00B17211" w:rsidRDefault="00456324" w:rsidP="00EE2373">
            <w:r w:rsidRPr="007F490F">
              <w:rPr>
                <w:rStyle w:val="Heading2Char"/>
              </w:rPr>
              <w:t>Respon</w:t>
            </w:r>
            <w:r w:rsidR="007D55F6">
              <w:rPr>
                <w:rStyle w:val="Heading2Char"/>
              </w:rPr>
              <w:t>ded to:</w:t>
            </w:r>
            <w:r w:rsidR="007F490F">
              <w:t xml:space="preserve">  </w:t>
            </w:r>
            <w:r w:rsidR="00D209D8">
              <w:t xml:space="preserve">22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D7F519" w14:textId="77777777" w:rsidR="00D209D8" w:rsidRPr="0045798F" w:rsidRDefault="00D209D8" w:rsidP="0045798F">
      <w:pPr>
        <w:pStyle w:val="Heading2"/>
      </w:pPr>
      <w:r w:rsidRPr="0045798F">
        <w:t>Please can you provide a breakdown of the number (how many) and locations of all Islamophobic incidents that took place in any mosque, street, private dwelling, or other venue in the police force area over the last three years?</w:t>
      </w:r>
    </w:p>
    <w:p w14:paraId="093B3CD7" w14:textId="078EFDD1" w:rsidR="00F25964" w:rsidRPr="0030559E" w:rsidRDefault="00F25964" w:rsidP="00F25964">
      <w:r w:rsidRPr="0030559E">
        <w:t xml:space="preserve">To provide some general context, Police Scotland defines a </w:t>
      </w:r>
      <w:r w:rsidRPr="0030559E">
        <w:rPr>
          <w:b/>
          <w:bCs/>
        </w:rPr>
        <w:t xml:space="preserve">hate incident </w:t>
      </w:r>
      <w:r w:rsidRPr="0030559E">
        <w:t>as ‘any incident which is perceived by the victim or any other person to be motivated (wholly or partly) by malice and ill-will towards a social group, but which does not constitute a criminal offence.’</w:t>
      </w:r>
    </w:p>
    <w:p w14:paraId="635B69DA" w14:textId="77777777" w:rsidR="00F25964" w:rsidRPr="0030559E" w:rsidRDefault="00F25964" w:rsidP="00F25964">
      <w:r w:rsidRPr="0030559E">
        <w:t xml:space="preserve">Police Scotland defines a </w:t>
      </w:r>
      <w:r w:rsidRPr="0030559E">
        <w:rPr>
          <w:b/>
          <w:bCs/>
        </w:rPr>
        <w:t xml:space="preserve">hate crime </w:t>
      </w:r>
      <w:r w:rsidRPr="0030559E">
        <w:t>as, ‘any crime which is perceived by the victim or any other person, to be motivated (wholly or partly) by malice and ill-will towards a social group.’</w:t>
      </w:r>
    </w:p>
    <w:p w14:paraId="158B4B52" w14:textId="0250A2FA" w:rsidR="00F25964" w:rsidRPr="0030559E" w:rsidRDefault="00F25964" w:rsidP="00F25964">
      <w:r w:rsidRPr="0030559E">
        <w:t xml:space="preserve">Social groups are identified in accordance with the Lord Advocates guidelines on Aggravations of Offences against Prejudice </w:t>
      </w:r>
      <w:r>
        <w:t xml:space="preserve">for example, </w:t>
      </w:r>
      <w:r w:rsidRPr="0030559E">
        <w:t>race, sexual orientation, religion/faith, disability or transgender identity.</w:t>
      </w:r>
    </w:p>
    <w:p w14:paraId="66C29011" w14:textId="4A6D7602" w:rsidR="00F25964" w:rsidRPr="00994BCB" w:rsidRDefault="00F25964" w:rsidP="00F25964">
      <w:r>
        <w:t>The information below has been extracted from Police Scotland’s interim Vulnerable Person Database. The system’s main function is to record the data of vulnerable people.</w:t>
      </w:r>
      <w:r w:rsidRPr="008156D8">
        <w:t xml:space="preserve"> </w:t>
      </w:r>
      <w:r>
        <w:t xml:space="preserve">As such, it was not designed to be a statistical tool.  The database does not permit the data to be extracted in a manner that will provide a straightforward response to your request. However, this database is a national system that allows for the extraction of data with a consistent methodology. </w:t>
      </w:r>
    </w:p>
    <w:p w14:paraId="009F524C" w14:textId="465B91CA" w:rsidR="00F25964" w:rsidRDefault="00F25964" w:rsidP="00F25964">
      <w:r>
        <w:t xml:space="preserve">The interim Vulnerable Persons Database (iVPD)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w:t>
      </w:r>
      <w:hyperlink r:id="rId8" w:history="1">
        <w:r>
          <w:rPr>
            <w:rStyle w:val="Hyperlink"/>
          </w:rPr>
          <w:t>Victims and Witnesses (Scotland) Act 2014</w:t>
        </w:r>
      </w:hyperlink>
      <w:r>
        <w:rPr>
          <w:u w:val="single"/>
        </w:rPr>
        <w:t>.</w:t>
      </w:r>
      <w:r>
        <w:t xml:space="preserve"> </w:t>
      </w:r>
    </w:p>
    <w:p w14:paraId="7B24CBA7" w14:textId="77777777" w:rsidR="00F25964" w:rsidRDefault="00F25964" w:rsidP="00F25964"/>
    <w:p w14:paraId="6AB643F4" w14:textId="77777777" w:rsidR="00F25964" w:rsidRDefault="00F25964" w:rsidP="00F25964">
      <w:r w:rsidRPr="00F52141">
        <w:lastRenderedPageBreak/>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r>
        <w:t>.</w:t>
      </w:r>
    </w:p>
    <w:p w14:paraId="6D59E31F" w14:textId="77777777" w:rsidR="00F25964" w:rsidRDefault="00F25964" w:rsidP="00F25964">
      <w:r>
        <w:t xml:space="preserve">Additionally, on iVPD the term nominal relates to a person, victim or perpetrator involved in a crime. </w:t>
      </w:r>
    </w:p>
    <w:p w14:paraId="49E6D6BE" w14:textId="6776A32D" w:rsidR="00177873" w:rsidRDefault="00177873" w:rsidP="00F25964">
      <w:r>
        <w:t>In response to this question, please the table below, provides the number of religious hate concern incidents where the hate concern reason is ‘Muslim’, broken by year.</w:t>
      </w:r>
    </w:p>
    <w:p w14:paraId="155561B9" w14:textId="4D5EF686" w:rsidR="00177873" w:rsidRDefault="00177873" w:rsidP="00F25964">
      <w:r>
        <w:t>Please note the caveats at the bottom of the table.</w:t>
      </w:r>
    </w:p>
    <w:p w14:paraId="111FCC21" w14:textId="77777777" w:rsidR="00177873" w:rsidRDefault="00177873" w:rsidP="00F25964"/>
    <w:p w14:paraId="3F72D229" w14:textId="781678A8" w:rsidR="00177873" w:rsidRDefault="00177873" w:rsidP="00F25964">
      <w:r w:rsidRPr="00177873">
        <w:t>Religious Hate Concern Incidents (Hate Concern Reason 'Muslim'), Police Scotland</w:t>
      </w:r>
    </w:p>
    <w:p w14:paraId="3178A2CC" w14:textId="6460CFE0" w:rsidR="00177873" w:rsidRDefault="00177873" w:rsidP="00F25964">
      <w:r w:rsidRPr="00177873">
        <w:t>Period: 1st January 2020 - 31st July 2023, Calendar Years</w:t>
      </w:r>
    </w:p>
    <w:tbl>
      <w:tblPr>
        <w:tblW w:w="10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he number of religious hate concern incidents where the hate concern reason is ‘Muslim’, broken by year"/>
        <w:tblDescription w:val="The number of religious hate concern incidents where the hate concern reason is ‘Muslim’, broken by year"/>
      </w:tblPr>
      <w:tblGrid>
        <w:gridCol w:w="6801"/>
        <w:gridCol w:w="884"/>
        <w:gridCol w:w="884"/>
        <w:gridCol w:w="884"/>
        <w:gridCol w:w="977"/>
      </w:tblGrid>
      <w:tr w:rsidR="00177873" w:rsidRPr="00177873" w14:paraId="5A5E93B9" w14:textId="77777777" w:rsidTr="00177873">
        <w:trPr>
          <w:trHeight w:val="321"/>
          <w:tblHeader/>
        </w:trPr>
        <w:tc>
          <w:tcPr>
            <w:tcW w:w="6801" w:type="dxa"/>
            <w:shd w:val="clear" w:color="auto" w:fill="D9D9D9" w:themeFill="background1" w:themeFillShade="D9"/>
            <w:noWrap/>
            <w:vAlign w:val="bottom"/>
            <w:hideMark/>
          </w:tcPr>
          <w:p w14:paraId="23E0CE1C" w14:textId="77777777" w:rsidR="00177873" w:rsidRPr="00177873" w:rsidRDefault="00177873" w:rsidP="00F25964">
            <w:pPr>
              <w:rPr>
                <w:b/>
                <w:bCs/>
              </w:rPr>
            </w:pPr>
            <w:r w:rsidRPr="00177873">
              <w:rPr>
                <w:b/>
                <w:bCs/>
              </w:rPr>
              <w:t> </w:t>
            </w:r>
          </w:p>
        </w:tc>
        <w:tc>
          <w:tcPr>
            <w:tcW w:w="884" w:type="dxa"/>
            <w:shd w:val="clear" w:color="auto" w:fill="D9D9D9" w:themeFill="background1" w:themeFillShade="D9"/>
            <w:noWrap/>
            <w:vAlign w:val="bottom"/>
            <w:hideMark/>
          </w:tcPr>
          <w:p w14:paraId="024FCCBC" w14:textId="77777777" w:rsidR="00177873" w:rsidRPr="00177873" w:rsidRDefault="00177873" w:rsidP="00F25964">
            <w:pPr>
              <w:rPr>
                <w:b/>
                <w:bCs/>
              </w:rPr>
            </w:pPr>
            <w:r w:rsidRPr="00177873">
              <w:rPr>
                <w:b/>
                <w:bCs/>
              </w:rPr>
              <w:t>2020</w:t>
            </w:r>
          </w:p>
        </w:tc>
        <w:tc>
          <w:tcPr>
            <w:tcW w:w="884" w:type="dxa"/>
            <w:shd w:val="clear" w:color="auto" w:fill="D9D9D9" w:themeFill="background1" w:themeFillShade="D9"/>
            <w:noWrap/>
            <w:vAlign w:val="bottom"/>
            <w:hideMark/>
          </w:tcPr>
          <w:p w14:paraId="4A6E037D" w14:textId="77777777" w:rsidR="00177873" w:rsidRPr="00177873" w:rsidRDefault="00177873" w:rsidP="00F25964">
            <w:pPr>
              <w:rPr>
                <w:b/>
                <w:bCs/>
              </w:rPr>
            </w:pPr>
            <w:r w:rsidRPr="00177873">
              <w:rPr>
                <w:b/>
                <w:bCs/>
              </w:rPr>
              <w:t>2021</w:t>
            </w:r>
          </w:p>
        </w:tc>
        <w:tc>
          <w:tcPr>
            <w:tcW w:w="884" w:type="dxa"/>
            <w:shd w:val="clear" w:color="auto" w:fill="D9D9D9" w:themeFill="background1" w:themeFillShade="D9"/>
            <w:noWrap/>
            <w:vAlign w:val="bottom"/>
            <w:hideMark/>
          </w:tcPr>
          <w:p w14:paraId="7988BF48" w14:textId="77777777" w:rsidR="00177873" w:rsidRPr="00177873" w:rsidRDefault="00177873" w:rsidP="00F25964">
            <w:pPr>
              <w:rPr>
                <w:b/>
                <w:bCs/>
              </w:rPr>
            </w:pPr>
            <w:r w:rsidRPr="00177873">
              <w:rPr>
                <w:b/>
                <w:bCs/>
              </w:rPr>
              <w:t>2022</w:t>
            </w:r>
          </w:p>
        </w:tc>
        <w:tc>
          <w:tcPr>
            <w:tcW w:w="977" w:type="dxa"/>
            <w:shd w:val="clear" w:color="auto" w:fill="D9D9D9" w:themeFill="background1" w:themeFillShade="D9"/>
            <w:noWrap/>
            <w:vAlign w:val="bottom"/>
            <w:hideMark/>
          </w:tcPr>
          <w:p w14:paraId="0E1F1B14" w14:textId="77777777" w:rsidR="00177873" w:rsidRPr="00177873" w:rsidRDefault="00177873" w:rsidP="00F25964">
            <w:pPr>
              <w:rPr>
                <w:b/>
                <w:bCs/>
              </w:rPr>
            </w:pPr>
            <w:r w:rsidRPr="00177873">
              <w:rPr>
                <w:b/>
                <w:bCs/>
              </w:rPr>
              <w:t>2023*</w:t>
            </w:r>
          </w:p>
        </w:tc>
      </w:tr>
      <w:tr w:rsidR="00177873" w:rsidRPr="00177873" w14:paraId="35710CD6" w14:textId="77777777" w:rsidTr="00177873">
        <w:trPr>
          <w:trHeight w:val="306"/>
        </w:trPr>
        <w:tc>
          <w:tcPr>
            <w:tcW w:w="6801" w:type="dxa"/>
            <w:shd w:val="clear" w:color="auto" w:fill="auto"/>
            <w:noWrap/>
            <w:vAlign w:val="bottom"/>
            <w:hideMark/>
          </w:tcPr>
          <w:p w14:paraId="2359B91C" w14:textId="77777777" w:rsidR="00177873" w:rsidRPr="00177873" w:rsidRDefault="00177873" w:rsidP="00F25964">
            <w:r w:rsidRPr="00177873">
              <w:t>Religious Hate Concern Incidents (Hate Concern Reason 'Muslim')</w:t>
            </w:r>
          </w:p>
        </w:tc>
        <w:tc>
          <w:tcPr>
            <w:tcW w:w="884" w:type="dxa"/>
            <w:shd w:val="clear" w:color="auto" w:fill="auto"/>
            <w:noWrap/>
            <w:vAlign w:val="bottom"/>
            <w:hideMark/>
          </w:tcPr>
          <w:p w14:paraId="441F36D2" w14:textId="77777777" w:rsidR="00177873" w:rsidRPr="00177873" w:rsidRDefault="00177873" w:rsidP="00F25964">
            <w:r w:rsidRPr="00177873">
              <w:t>89</w:t>
            </w:r>
          </w:p>
        </w:tc>
        <w:tc>
          <w:tcPr>
            <w:tcW w:w="884" w:type="dxa"/>
            <w:shd w:val="clear" w:color="auto" w:fill="auto"/>
            <w:noWrap/>
            <w:vAlign w:val="bottom"/>
            <w:hideMark/>
          </w:tcPr>
          <w:p w14:paraId="7C86F359" w14:textId="77777777" w:rsidR="00177873" w:rsidRPr="00177873" w:rsidRDefault="00177873" w:rsidP="00F25964">
            <w:r w:rsidRPr="00177873">
              <w:t>103</w:t>
            </w:r>
          </w:p>
        </w:tc>
        <w:tc>
          <w:tcPr>
            <w:tcW w:w="884" w:type="dxa"/>
            <w:shd w:val="clear" w:color="auto" w:fill="auto"/>
            <w:noWrap/>
            <w:vAlign w:val="bottom"/>
            <w:hideMark/>
          </w:tcPr>
          <w:p w14:paraId="60328E19" w14:textId="77777777" w:rsidR="00177873" w:rsidRPr="00177873" w:rsidRDefault="00177873" w:rsidP="00F25964">
            <w:r w:rsidRPr="00177873">
              <w:t>111</w:t>
            </w:r>
          </w:p>
        </w:tc>
        <w:tc>
          <w:tcPr>
            <w:tcW w:w="977" w:type="dxa"/>
            <w:shd w:val="clear" w:color="auto" w:fill="auto"/>
            <w:noWrap/>
            <w:vAlign w:val="bottom"/>
            <w:hideMark/>
          </w:tcPr>
          <w:p w14:paraId="0E823D29" w14:textId="77777777" w:rsidR="00177873" w:rsidRPr="00177873" w:rsidRDefault="00177873" w:rsidP="00F25964">
            <w:r w:rsidRPr="00177873">
              <w:t>68</w:t>
            </w:r>
          </w:p>
        </w:tc>
      </w:tr>
    </w:tbl>
    <w:p w14:paraId="777D3251" w14:textId="77777777" w:rsidR="007F5B40" w:rsidRDefault="007F5B40" w:rsidP="00F25964"/>
    <w:p w14:paraId="3BF10856" w14:textId="28D9A083" w:rsidR="007F5B40" w:rsidRDefault="007F5B40" w:rsidP="00F25964">
      <w:r w:rsidRPr="007F5B40">
        <w:t>The data was extracted using the incident's raised date and extracted from iVPD by selecting religious hate concern incident nominals, where the religious hate reason is 'Muslim'.  Table 4 provides a unique count of iVPD incidents which include at least 1 x religious hate concern incident nominal, where the religious hate reason is 'Muslim'.</w:t>
      </w:r>
    </w:p>
    <w:p w14:paraId="11A1A278" w14:textId="77777777" w:rsidR="007F5B40" w:rsidRDefault="007F5B40" w:rsidP="00F25964">
      <w:r w:rsidRPr="007F5B40">
        <w:t>Please note, not all incident nominals will be 'Muslim'.  Each record will need to be read to confirm the circumstances relating to the iVPD incident</w:t>
      </w:r>
      <w:r>
        <w:t>.</w:t>
      </w:r>
    </w:p>
    <w:p w14:paraId="5AEB972B" w14:textId="77777777" w:rsidR="007D0FE1" w:rsidRDefault="007D0FE1" w:rsidP="007D0FE1">
      <w:r w:rsidRPr="007F5B40">
        <w:t>All statistics are provisional and should be treated as management information. All data have been extracted from Police Scotland internal systems and are correct as of 11th September 2023.</w:t>
      </w:r>
      <w:r w:rsidRPr="007F5B40">
        <w:tab/>
      </w:r>
      <w:r w:rsidRPr="007F5B40">
        <w:tab/>
      </w:r>
      <w:r w:rsidRPr="007F5B40">
        <w:tab/>
      </w:r>
      <w:r w:rsidRPr="007F5B40">
        <w:tab/>
      </w:r>
      <w:r w:rsidRPr="007F5B40">
        <w:tab/>
      </w:r>
      <w:r w:rsidRPr="007F5B40">
        <w:tab/>
      </w:r>
    </w:p>
    <w:p w14:paraId="1B134628" w14:textId="77777777" w:rsidR="007D0FE1" w:rsidRDefault="007D0FE1" w:rsidP="007D0FE1">
      <w:r w:rsidRPr="007F5B40">
        <w:t xml:space="preserve">Police Scotland does not retain any information for statistical purposes once a record has been weeded from iVPD.  When a record is weeded, it is removed from the system, and there is no retention of data outside the weeding and retention policy.  Please note, the </w:t>
      </w:r>
      <w:r w:rsidRPr="007F5B40">
        <w:lastRenderedPageBreak/>
        <w:t>weeding and retention policy states that if a person is recorded as "no concern / not applicable" then this will only be retained for 6 months</w:t>
      </w:r>
      <w:r>
        <w:t>.</w:t>
      </w:r>
    </w:p>
    <w:p w14:paraId="2E145505" w14:textId="71A5D545" w:rsidR="00F25964" w:rsidRDefault="007D0FE1" w:rsidP="00F25964">
      <w:r w:rsidRPr="007F5B40">
        <w:t>Please note that these data are collated from the Police Scotland iVPD system, which has an automated weeding and retention policy built on to it. A copy of the retention policy is available on the Police Scotland internet site.</w:t>
      </w:r>
    </w:p>
    <w:p w14:paraId="7CF40C31" w14:textId="77777777" w:rsidR="007D0FE1" w:rsidRDefault="007D0FE1" w:rsidP="00F25964"/>
    <w:p w14:paraId="055043DA" w14:textId="77777777" w:rsidR="0045798F" w:rsidRDefault="00F25964" w:rsidP="0045798F">
      <w:r>
        <w:t>With respect to the location aspect of your request,</w:t>
      </w:r>
      <w:r w:rsidR="0045798F">
        <w:t xml:space="preserve"> I can advise that religious hate concerns where the hate reason is ‘Muslim’ have taken place in the following locations:</w:t>
      </w:r>
    </w:p>
    <w:p w14:paraId="501E9B23" w14:textId="31881653" w:rsidR="0045798F" w:rsidRDefault="0045798F" w:rsidP="0045798F">
      <w:pPr>
        <w:pStyle w:val="ListParagraph"/>
        <w:numPr>
          <w:ilvl w:val="0"/>
          <w:numId w:val="4"/>
        </w:numPr>
      </w:pPr>
      <w:r>
        <w:t>Accused's Home</w:t>
      </w:r>
    </w:p>
    <w:p w14:paraId="4132738B" w14:textId="77777777" w:rsidR="0045798F" w:rsidRDefault="0045798F" w:rsidP="0045798F">
      <w:pPr>
        <w:pStyle w:val="ListParagraph"/>
        <w:numPr>
          <w:ilvl w:val="0"/>
          <w:numId w:val="4"/>
        </w:numPr>
      </w:pPr>
      <w:r>
        <w:t>Care Setting</w:t>
      </w:r>
    </w:p>
    <w:p w14:paraId="20DF6A2C" w14:textId="77777777" w:rsidR="0045798F" w:rsidRDefault="0045798F" w:rsidP="0045798F">
      <w:pPr>
        <w:pStyle w:val="ListParagraph"/>
        <w:numPr>
          <w:ilvl w:val="0"/>
          <w:numId w:val="4"/>
        </w:numPr>
      </w:pPr>
      <w:r>
        <w:t>Commercial Premises</w:t>
      </w:r>
    </w:p>
    <w:p w14:paraId="31CFDFE0" w14:textId="283F5653" w:rsidR="0045798F" w:rsidRDefault="0045798F" w:rsidP="0045798F">
      <w:pPr>
        <w:pStyle w:val="ListParagraph"/>
        <w:numPr>
          <w:ilvl w:val="0"/>
          <w:numId w:val="4"/>
        </w:numPr>
      </w:pPr>
      <w:r>
        <w:t>Educational Establishment</w:t>
      </w:r>
    </w:p>
    <w:p w14:paraId="0ECC51D2" w14:textId="77777777" w:rsidR="0045798F" w:rsidRDefault="0045798F" w:rsidP="0045798F">
      <w:pPr>
        <w:pStyle w:val="ListParagraph"/>
        <w:numPr>
          <w:ilvl w:val="0"/>
          <w:numId w:val="4"/>
        </w:numPr>
      </w:pPr>
      <w:r>
        <w:t>Health Establishment</w:t>
      </w:r>
    </w:p>
    <w:p w14:paraId="4F6B96AB" w14:textId="77777777" w:rsidR="0045798F" w:rsidRDefault="0045798F" w:rsidP="0045798F">
      <w:pPr>
        <w:pStyle w:val="ListParagraph"/>
        <w:numPr>
          <w:ilvl w:val="0"/>
          <w:numId w:val="4"/>
        </w:numPr>
      </w:pPr>
      <w:r>
        <w:t>Joint Home (residence of both victim &amp; accused)</w:t>
      </w:r>
    </w:p>
    <w:p w14:paraId="6D7FEC7E" w14:textId="77777777" w:rsidR="0045798F" w:rsidRDefault="0045798F" w:rsidP="0045798F">
      <w:pPr>
        <w:pStyle w:val="ListParagraph"/>
        <w:numPr>
          <w:ilvl w:val="0"/>
          <w:numId w:val="4"/>
        </w:numPr>
      </w:pPr>
      <w:r>
        <w:t>Licensed Premises</w:t>
      </w:r>
    </w:p>
    <w:p w14:paraId="5FA09DD3" w14:textId="77777777" w:rsidR="0045798F" w:rsidRDefault="0045798F" w:rsidP="0045798F">
      <w:pPr>
        <w:pStyle w:val="ListParagraph"/>
        <w:numPr>
          <w:ilvl w:val="0"/>
          <w:numId w:val="4"/>
        </w:numPr>
      </w:pPr>
      <w:r>
        <w:t>Other</w:t>
      </w:r>
    </w:p>
    <w:p w14:paraId="2FD391D4" w14:textId="77777777" w:rsidR="0045798F" w:rsidRDefault="0045798F" w:rsidP="0045798F">
      <w:pPr>
        <w:pStyle w:val="ListParagraph"/>
        <w:numPr>
          <w:ilvl w:val="0"/>
          <w:numId w:val="4"/>
        </w:numPr>
      </w:pPr>
      <w:r>
        <w:t>Other Dwelling</w:t>
      </w:r>
    </w:p>
    <w:p w14:paraId="628E3440" w14:textId="77777777" w:rsidR="0045798F" w:rsidRDefault="0045798F" w:rsidP="0045798F">
      <w:pPr>
        <w:pStyle w:val="ListParagraph"/>
        <w:numPr>
          <w:ilvl w:val="0"/>
          <w:numId w:val="4"/>
        </w:numPr>
      </w:pPr>
      <w:r>
        <w:t>Public Place</w:t>
      </w:r>
    </w:p>
    <w:p w14:paraId="04776AF9" w14:textId="77777777" w:rsidR="0045798F" w:rsidRDefault="0045798F" w:rsidP="0045798F">
      <w:pPr>
        <w:pStyle w:val="ListParagraph"/>
        <w:numPr>
          <w:ilvl w:val="0"/>
          <w:numId w:val="4"/>
        </w:numPr>
      </w:pPr>
      <w:r>
        <w:t>Religious Establishment</w:t>
      </w:r>
    </w:p>
    <w:p w14:paraId="744F7F43" w14:textId="77777777" w:rsidR="0045798F" w:rsidRDefault="0045798F" w:rsidP="0045798F">
      <w:pPr>
        <w:pStyle w:val="ListParagraph"/>
        <w:numPr>
          <w:ilvl w:val="0"/>
          <w:numId w:val="4"/>
        </w:numPr>
      </w:pPr>
      <w:r>
        <w:t>Street</w:t>
      </w:r>
    </w:p>
    <w:p w14:paraId="28D21F02" w14:textId="77777777" w:rsidR="0045798F" w:rsidRDefault="0045798F" w:rsidP="0045798F">
      <w:pPr>
        <w:pStyle w:val="ListParagraph"/>
        <w:numPr>
          <w:ilvl w:val="0"/>
          <w:numId w:val="4"/>
        </w:numPr>
      </w:pPr>
      <w:r>
        <w:t>Subject's Home</w:t>
      </w:r>
    </w:p>
    <w:p w14:paraId="1FFC5856" w14:textId="77777777" w:rsidR="0045798F" w:rsidRDefault="0045798F" w:rsidP="0045798F">
      <w:pPr>
        <w:pStyle w:val="ListParagraph"/>
        <w:numPr>
          <w:ilvl w:val="0"/>
          <w:numId w:val="4"/>
        </w:numPr>
      </w:pPr>
      <w:r>
        <w:t>Unknown</w:t>
      </w:r>
    </w:p>
    <w:p w14:paraId="3594C3C6" w14:textId="1990A680" w:rsidR="00F25964" w:rsidRDefault="0045798F" w:rsidP="007D0FE1">
      <w:pPr>
        <w:pStyle w:val="ListParagraph"/>
        <w:numPr>
          <w:ilvl w:val="0"/>
          <w:numId w:val="4"/>
        </w:numPr>
      </w:pPr>
      <w:r>
        <w:t>Victim's Home</w:t>
      </w:r>
    </w:p>
    <w:p w14:paraId="7DFC36FE" w14:textId="28CD94AD" w:rsidR="00496A08" w:rsidRPr="00BF6B81" w:rsidRDefault="00496A08" w:rsidP="00F25964">
      <w:r>
        <w:t xml:space="preserve">If you require any further </w:t>
      </w:r>
      <w:r w:rsidR="00D209D8" w:rsidRPr="00874BFD">
        <w:t>assistance,</w:t>
      </w:r>
      <w:r>
        <w:t xml:space="preserve"> please contact us quoting the reference above.</w:t>
      </w:r>
    </w:p>
    <w:p w14:paraId="4FD6BBE3" w14:textId="77777777" w:rsidR="00496A08" w:rsidRPr="007C470A" w:rsidRDefault="00496A08" w:rsidP="00F25964">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F25964">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F25964">
      <w:r w:rsidRPr="007C470A">
        <w:t>Following an OSIC appeal, you can appeal to the Court of Session on a point of law only.</w:t>
      </w:r>
      <w:r w:rsidR="00D47E36">
        <w:t xml:space="preserve"> </w:t>
      </w:r>
    </w:p>
    <w:p w14:paraId="4F24DC35" w14:textId="77777777" w:rsidR="00B11A55" w:rsidRDefault="00B11A55" w:rsidP="00F25964">
      <w:r>
        <w:lastRenderedPageBreak/>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F25964">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4D5194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0C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5FCF3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0C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3ED8F06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0CA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6EB56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0CAC">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395AE93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0CA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CCBE1F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0CAC">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594"/>
    <w:multiLevelType w:val="hybridMultilevel"/>
    <w:tmpl w:val="94F4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502F88"/>
    <w:multiLevelType w:val="hybridMultilevel"/>
    <w:tmpl w:val="82D0ECF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E841C3B"/>
    <w:multiLevelType w:val="hybridMultilevel"/>
    <w:tmpl w:val="E1E0E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3"/>
  </w:num>
  <w:num w:numId="2" w16cid:durableId="1057778167">
    <w:abstractNumId w:val="2"/>
  </w:num>
  <w:num w:numId="3" w16cid:durableId="31855058">
    <w:abstractNumId w:val="0"/>
  </w:num>
  <w:num w:numId="4" w16cid:durableId="5072516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77873"/>
    <w:rsid w:val="00195CC4"/>
    <w:rsid w:val="00207326"/>
    <w:rsid w:val="00253DF6"/>
    <w:rsid w:val="00255F1E"/>
    <w:rsid w:val="00270CAC"/>
    <w:rsid w:val="002E6CC1"/>
    <w:rsid w:val="0036503B"/>
    <w:rsid w:val="00393CCF"/>
    <w:rsid w:val="003D6D03"/>
    <w:rsid w:val="003E12CA"/>
    <w:rsid w:val="004010DC"/>
    <w:rsid w:val="004273A3"/>
    <w:rsid w:val="004341F0"/>
    <w:rsid w:val="00456324"/>
    <w:rsid w:val="0045798F"/>
    <w:rsid w:val="00475460"/>
    <w:rsid w:val="00490317"/>
    <w:rsid w:val="00491644"/>
    <w:rsid w:val="00496A08"/>
    <w:rsid w:val="004E1605"/>
    <w:rsid w:val="004F653C"/>
    <w:rsid w:val="00540A52"/>
    <w:rsid w:val="00557306"/>
    <w:rsid w:val="006D5799"/>
    <w:rsid w:val="00750D83"/>
    <w:rsid w:val="00793DD5"/>
    <w:rsid w:val="007D0FE1"/>
    <w:rsid w:val="007D55F6"/>
    <w:rsid w:val="007F490F"/>
    <w:rsid w:val="007F5B40"/>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09D8"/>
    <w:rsid w:val="00D27DC5"/>
    <w:rsid w:val="00D47E36"/>
    <w:rsid w:val="00E55D79"/>
    <w:rsid w:val="00EE2373"/>
    <w:rsid w:val="00EF4761"/>
    <w:rsid w:val="00F2596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962634">
      <w:bodyDiv w:val="1"/>
      <w:marLeft w:val="0"/>
      <w:marRight w:val="0"/>
      <w:marTop w:val="0"/>
      <w:marBottom w:val="0"/>
      <w:divBdr>
        <w:top w:val="none" w:sz="0" w:space="0" w:color="auto"/>
        <w:left w:val="none" w:sz="0" w:space="0" w:color="auto"/>
        <w:bottom w:val="none" w:sz="0" w:space="0" w:color="auto"/>
        <w:right w:val="none" w:sz="0" w:space="0" w:color="auto"/>
      </w:divBdr>
    </w:div>
    <w:div w:id="657534559">
      <w:bodyDiv w:val="1"/>
      <w:marLeft w:val="0"/>
      <w:marRight w:val="0"/>
      <w:marTop w:val="0"/>
      <w:marBottom w:val="0"/>
      <w:divBdr>
        <w:top w:val="none" w:sz="0" w:space="0" w:color="auto"/>
        <w:left w:val="none" w:sz="0" w:space="0" w:color="auto"/>
        <w:bottom w:val="none" w:sz="0" w:space="0" w:color="auto"/>
        <w:right w:val="none" w:sz="0" w:space="0" w:color="auto"/>
      </w:divBdr>
    </w:div>
    <w:div w:id="767624171">
      <w:bodyDiv w:val="1"/>
      <w:marLeft w:val="0"/>
      <w:marRight w:val="0"/>
      <w:marTop w:val="0"/>
      <w:marBottom w:val="0"/>
      <w:divBdr>
        <w:top w:val="none" w:sz="0" w:space="0" w:color="auto"/>
        <w:left w:val="none" w:sz="0" w:space="0" w:color="auto"/>
        <w:bottom w:val="none" w:sz="0" w:space="0" w:color="auto"/>
        <w:right w:val="none" w:sz="0" w:space="0" w:color="auto"/>
      </w:divBdr>
    </w:div>
    <w:div w:id="1041176048">
      <w:bodyDiv w:val="1"/>
      <w:marLeft w:val="0"/>
      <w:marRight w:val="0"/>
      <w:marTop w:val="0"/>
      <w:marBottom w:val="0"/>
      <w:divBdr>
        <w:top w:val="none" w:sz="0" w:space="0" w:color="auto"/>
        <w:left w:val="none" w:sz="0" w:space="0" w:color="auto"/>
        <w:bottom w:val="none" w:sz="0" w:space="0" w:color="auto"/>
        <w:right w:val="none" w:sz="0" w:space="0" w:color="auto"/>
      </w:divBdr>
    </w:div>
    <w:div w:id="16821250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asp/2014/1/contents/enacte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4</Pages>
  <Words>906</Words>
  <Characters>5167</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2023-09-27T13:47:00Z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