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EEF23B" w:rsidR="00B17211" w:rsidRPr="00B17211" w:rsidRDefault="00B17211" w:rsidP="007F490F">
            <w:r w:rsidRPr="007F490F">
              <w:rPr>
                <w:rStyle w:val="Heading2Char"/>
              </w:rPr>
              <w:t>Our reference:</w:t>
            </w:r>
            <w:r>
              <w:t xml:space="preserve">  FOI 2</w:t>
            </w:r>
            <w:r w:rsidR="00B654B6">
              <w:t>4</w:t>
            </w:r>
            <w:r>
              <w:t>-</w:t>
            </w:r>
            <w:r w:rsidR="006B721C">
              <w:t>0199</w:t>
            </w:r>
          </w:p>
          <w:p w14:paraId="34BDABA6" w14:textId="42003607" w:rsidR="00B17211" w:rsidRDefault="00456324" w:rsidP="00EE2373">
            <w:r w:rsidRPr="007F490F">
              <w:rPr>
                <w:rStyle w:val="Heading2Char"/>
              </w:rPr>
              <w:t>Respon</w:t>
            </w:r>
            <w:r w:rsidR="007D55F6">
              <w:rPr>
                <w:rStyle w:val="Heading2Char"/>
              </w:rPr>
              <w:t>ded to:</w:t>
            </w:r>
            <w:r w:rsidR="007F490F">
              <w:t xml:space="preserve">  </w:t>
            </w:r>
            <w:r w:rsidR="00642BB1">
              <w:t>1</w:t>
            </w:r>
            <w:r w:rsidR="008D0D90">
              <w:t>8</w:t>
            </w:r>
            <w:r w:rsidR="00B77872">
              <w:t xml:space="preserve"> March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FB27EB9" w14:textId="1B7F4D80" w:rsidR="006B721C" w:rsidRDefault="006B721C" w:rsidP="006B721C">
      <w:pPr>
        <w:pStyle w:val="Heading2"/>
      </w:pPr>
      <w:r>
        <w:t>How much has been spent improving the Police estate in Renfrewshire in each of the following years: 2021, 2022 and 2023. What was the money spent on?</w:t>
      </w:r>
    </w:p>
    <w:tbl>
      <w:tblPr>
        <w:tblStyle w:val="TableGrid"/>
        <w:tblW w:w="3797" w:type="dxa"/>
        <w:tblLook w:val="04A0" w:firstRow="1" w:lastRow="0" w:firstColumn="1" w:lastColumn="0" w:noHBand="0" w:noVBand="1"/>
        <w:tblCaption w:val="Example table"/>
        <w:tblDescription w:val="Example table"/>
      </w:tblPr>
      <w:tblGrid>
        <w:gridCol w:w="1898"/>
        <w:gridCol w:w="1899"/>
      </w:tblGrid>
      <w:tr w:rsidR="00655017" w:rsidRPr="00557306" w14:paraId="254E2192" w14:textId="77777777" w:rsidTr="00655017">
        <w:trPr>
          <w:tblHeader/>
        </w:trPr>
        <w:tc>
          <w:tcPr>
            <w:tcW w:w="1898" w:type="dxa"/>
            <w:shd w:val="clear" w:color="auto" w:fill="D9D9D9" w:themeFill="background1" w:themeFillShade="D9"/>
          </w:tcPr>
          <w:p w14:paraId="591232C2" w14:textId="0B121199" w:rsidR="00655017" w:rsidRPr="00557306" w:rsidRDefault="00655017" w:rsidP="007E540B">
            <w:pPr>
              <w:spacing w:line="276" w:lineRule="auto"/>
              <w:rPr>
                <w:b/>
              </w:rPr>
            </w:pPr>
            <w:r>
              <w:rPr>
                <w:b/>
              </w:rPr>
              <w:t xml:space="preserve">Year </w:t>
            </w:r>
          </w:p>
        </w:tc>
        <w:tc>
          <w:tcPr>
            <w:tcW w:w="1899" w:type="dxa"/>
            <w:shd w:val="clear" w:color="auto" w:fill="D9D9D9" w:themeFill="background1" w:themeFillShade="D9"/>
          </w:tcPr>
          <w:p w14:paraId="2A32102C" w14:textId="123C210D" w:rsidR="00655017" w:rsidRPr="00557306" w:rsidRDefault="00655017" w:rsidP="007E540B">
            <w:pPr>
              <w:spacing w:line="276" w:lineRule="auto"/>
              <w:rPr>
                <w:b/>
              </w:rPr>
            </w:pPr>
            <w:r>
              <w:rPr>
                <w:b/>
              </w:rPr>
              <w:t>Cost</w:t>
            </w:r>
          </w:p>
        </w:tc>
      </w:tr>
      <w:tr w:rsidR="00655017" w14:paraId="17691577" w14:textId="77777777" w:rsidTr="00655017">
        <w:tc>
          <w:tcPr>
            <w:tcW w:w="1898" w:type="dxa"/>
          </w:tcPr>
          <w:p w14:paraId="416AABBD" w14:textId="47F90438" w:rsidR="00655017" w:rsidRDefault="00655017" w:rsidP="007E540B">
            <w:pPr>
              <w:tabs>
                <w:tab w:val="left" w:pos="5400"/>
              </w:tabs>
              <w:spacing w:line="276" w:lineRule="auto"/>
            </w:pPr>
            <w:r>
              <w:t>2020/21</w:t>
            </w:r>
          </w:p>
        </w:tc>
        <w:tc>
          <w:tcPr>
            <w:tcW w:w="1899" w:type="dxa"/>
          </w:tcPr>
          <w:p w14:paraId="344B595D" w14:textId="715C57B3" w:rsidR="00655017" w:rsidRDefault="00655017" w:rsidP="007E540B">
            <w:pPr>
              <w:tabs>
                <w:tab w:val="left" w:pos="5400"/>
              </w:tabs>
              <w:spacing w:line="276" w:lineRule="auto"/>
            </w:pPr>
            <w:r>
              <w:t>£799,606.78</w:t>
            </w:r>
          </w:p>
        </w:tc>
      </w:tr>
      <w:tr w:rsidR="00655017" w14:paraId="4EBD35E7" w14:textId="77777777" w:rsidTr="00655017">
        <w:tc>
          <w:tcPr>
            <w:tcW w:w="1898" w:type="dxa"/>
          </w:tcPr>
          <w:p w14:paraId="1BFF320D" w14:textId="183BD707" w:rsidR="00655017" w:rsidRDefault="00655017" w:rsidP="007E540B">
            <w:pPr>
              <w:tabs>
                <w:tab w:val="left" w:pos="5400"/>
              </w:tabs>
              <w:spacing w:line="276" w:lineRule="auto"/>
            </w:pPr>
            <w:r>
              <w:t>2021/22</w:t>
            </w:r>
          </w:p>
        </w:tc>
        <w:tc>
          <w:tcPr>
            <w:tcW w:w="1899" w:type="dxa"/>
          </w:tcPr>
          <w:p w14:paraId="282FD9A4" w14:textId="46AB62F7" w:rsidR="00655017" w:rsidRDefault="00655017" w:rsidP="007E540B">
            <w:pPr>
              <w:tabs>
                <w:tab w:val="left" w:pos="5400"/>
              </w:tabs>
              <w:spacing w:line="276" w:lineRule="auto"/>
            </w:pPr>
            <w:r>
              <w:t>£6,317.88</w:t>
            </w:r>
          </w:p>
        </w:tc>
      </w:tr>
      <w:tr w:rsidR="00655017" w14:paraId="3FC8A8BA" w14:textId="77777777" w:rsidTr="00655017">
        <w:tc>
          <w:tcPr>
            <w:tcW w:w="1898" w:type="dxa"/>
          </w:tcPr>
          <w:p w14:paraId="211E147C" w14:textId="024C1814" w:rsidR="00655017" w:rsidRDefault="00655017" w:rsidP="007E540B">
            <w:pPr>
              <w:tabs>
                <w:tab w:val="left" w:pos="5400"/>
              </w:tabs>
              <w:spacing w:line="276" w:lineRule="auto"/>
            </w:pPr>
            <w:r>
              <w:t>2022/23</w:t>
            </w:r>
          </w:p>
        </w:tc>
        <w:tc>
          <w:tcPr>
            <w:tcW w:w="1899" w:type="dxa"/>
          </w:tcPr>
          <w:p w14:paraId="1A04A8B3" w14:textId="3C0B7773" w:rsidR="00655017" w:rsidRDefault="00655017" w:rsidP="007E540B">
            <w:pPr>
              <w:tabs>
                <w:tab w:val="left" w:pos="5400"/>
              </w:tabs>
              <w:spacing w:line="276" w:lineRule="auto"/>
            </w:pPr>
            <w:r>
              <w:t>£240,820.13</w:t>
            </w:r>
          </w:p>
        </w:tc>
      </w:tr>
      <w:tr w:rsidR="00655017" w14:paraId="631E9C82" w14:textId="77777777" w:rsidTr="00655017">
        <w:tc>
          <w:tcPr>
            <w:tcW w:w="1898" w:type="dxa"/>
          </w:tcPr>
          <w:p w14:paraId="7EF97EFB" w14:textId="02E57277" w:rsidR="00655017" w:rsidRDefault="00655017" w:rsidP="007E540B">
            <w:pPr>
              <w:tabs>
                <w:tab w:val="left" w:pos="5400"/>
              </w:tabs>
              <w:spacing w:line="276" w:lineRule="auto"/>
            </w:pPr>
            <w:r>
              <w:t>2023/24</w:t>
            </w:r>
          </w:p>
        </w:tc>
        <w:tc>
          <w:tcPr>
            <w:tcW w:w="1899" w:type="dxa"/>
          </w:tcPr>
          <w:p w14:paraId="44895214" w14:textId="38172D11" w:rsidR="00655017" w:rsidRDefault="00655017" w:rsidP="007E540B">
            <w:pPr>
              <w:tabs>
                <w:tab w:val="left" w:pos="5400"/>
              </w:tabs>
              <w:spacing w:line="276" w:lineRule="auto"/>
            </w:pPr>
            <w:r>
              <w:t>£176,588.85</w:t>
            </w:r>
          </w:p>
        </w:tc>
      </w:tr>
      <w:tr w:rsidR="00655017" w14:paraId="0C39D878" w14:textId="77777777" w:rsidTr="00655017">
        <w:tc>
          <w:tcPr>
            <w:tcW w:w="1898" w:type="dxa"/>
          </w:tcPr>
          <w:p w14:paraId="0ED73681" w14:textId="708F8F39" w:rsidR="00655017" w:rsidRDefault="00655017" w:rsidP="007E540B">
            <w:pPr>
              <w:tabs>
                <w:tab w:val="left" w:pos="5400"/>
              </w:tabs>
              <w:spacing w:line="276" w:lineRule="auto"/>
            </w:pPr>
            <w:r>
              <w:t>Total</w:t>
            </w:r>
          </w:p>
        </w:tc>
        <w:tc>
          <w:tcPr>
            <w:tcW w:w="1899" w:type="dxa"/>
          </w:tcPr>
          <w:p w14:paraId="7152B014" w14:textId="1762AF84" w:rsidR="00655017" w:rsidRDefault="00655017" w:rsidP="007E540B">
            <w:pPr>
              <w:tabs>
                <w:tab w:val="left" w:pos="5400"/>
              </w:tabs>
              <w:spacing w:line="276" w:lineRule="auto"/>
            </w:pPr>
            <w:r>
              <w:t>£1,223,333.64</w:t>
            </w:r>
          </w:p>
        </w:tc>
      </w:tr>
    </w:tbl>
    <w:p w14:paraId="707C3D00" w14:textId="77777777" w:rsidR="00655017" w:rsidRDefault="00655017" w:rsidP="00655017">
      <w:pPr>
        <w:tabs>
          <w:tab w:val="left" w:pos="5400"/>
        </w:tabs>
      </w:pPr>
    </w:p>
    <w:p w14:paraId="12197548" w14:textId="5C7A15D0" w:rsidR="00655017" w:rsidRDefault="00655017" w:rsidP="00655017">
      <w:pPr>
        <w:tabs>
          <w:tab w:val="left" w:pos="5400"/>
        </w:tabs>
      </w:pPr>
      <w:r>
        <w:t xml:space="preserve">Work which was carried out during these periods were as follows: </w:t>
      </w:r>
    </w:p>
    <w:p w14:paraId="36FE9A49" w14:textId="1CDE19AC" w:rsidR="00655017" w:rsidRDefault="00655017" w:rsidP="00655017">
      <w:pPr>
        <w:tabs>
          <w:tab w:val="left" w:pos="5400"/>
        </w:tabs>
      </w:pPr>
      <w:r>
        <w:t>LED lighting upgrade</w:t>
      </w:r>
    </w:p>
    <w:p w14:paraId="783D41EF" w14:textId="2438D0A1" w:rsidR="00655017" w:rsidRDefault="00655017" w:rsidP="00655017">
      <w:pPr>
        <w:tabs>
          <w:tab w:val="left" w:pos="5400"/>
        </w:tabs>
      </w:pPr>
      <w:r>
        <w:t>CCTV upgrades x2</w:t>
      </w:r>
    </w:p>
    <w:p w14:paraId="00D2492B" w14:textId="7F9A50CA" w:rsidR="00655017" w:rsidRDefault="00655017" w:rsidP="00655017">
      <w:pPr>
        <w:tabs>
          <w:tab w:val="left" w:pos="5400"/>
        </w:tabs>
      </w:pPr>
      <w:r>
        <w:t xml:space="preserve">Security upgrades to gated </w:t>
      </w:r>
      <w:proofErr w:type="gramStart"/>
      <w:r>
        <w:t>compound</w:t>
      </w:r>
      <w:proofErr w:type="gramEnd"/>
      <w:r>
        <w:t xml:space="preserve"> </w:t>
      </w:r>
    </w:p>
    <w:p w14:paraId="3258186B" w14:textId="72A2AC60" w:rsidR="00655017" w:rsidRDefault="00655017" w:rsidP="00655017">
      <w:pPr>
        <w:tabs>
          <w:tab w:val="left" w:pos="5400"/>
        </w:tabs>
      </w:pPr>
      <w:r>
        <w:t xml:space="preserve">Fire risk assessment works </w:t>
      </w:r>
    </w:p>
    <w:p w14:paraId="2818BA63" w14:textId="52A3C353" w:rsidR="00655017" w:rsidRDefault="00655017" w:rsidP="00655017">
      <w:pPr>
        <w:tabs>
          <w:tab w:val="left" w:pos="5400"/>
        </w:tabs>
      </w:pPr>
      <w:r>
        <w:t xml:space="preserve">EV installation x2 </w:t>
      </w:r>
    </w:p>
    <w:p w14:paraId="7A30E88A" w14:textId="47A6A430" w:rsidR="00655017" w:rsidRDefault="00655017" w:rsidP="00655017">
      <w:pPr>
        <w:tabs>
          <w:tab w:val="left" w:pos="5400"/>
        </w:tabs>
      </w:pPr>
      <w:r>
        <w:t xml:space="preserve">Generator replacement and upgrade </w:t>
      </w:r>
    </w:p>
    <w:p w14:paraId="0FE678BA" w14:textId="213F0656" w:rsidR="00655017" w:rsidRDefault="00655017" w:rsidP="00655017">
      <w:pPr>
        <w:tabs>
          <w:tab w:val="left" w:pos="5400"/>
        </w:tabs>
      </w:pPr>
      <w:r>
        <w:t>Air conditioning upgrades</w:t>
      </w:r>
    </w:p>
    <w:p w14:paraId="5C9E8D22" w14:textId="08DBAF9C" w:rsidR="00655017" w:rsidRDefault="00655017" w:rsidP="00655017">
      <w:pPr>
        <w:tabs>
          <w:tab w:val="left" w:pos="5400"/>
        </w:tabs>
      </w:pPr>
      <w:r>
        <w:t>Cell door replacements</w:t>
      </w:r>
    </w:p>
    <w:p w14:paraId="0334EAB5" w14:textId="3C9AF46C" w:rsidR="00655017" w:rsidRDefault="00655017" w:rsidP="00655017">
      <w:pPr>
        <w:tabs>
          <w:tab w:val="left" w:pos="5400"/>
        </w:tabs>
      </w:pPr>
      <w:r>
        <w:t>Boiler replacements x5</w:t>
      </w:r>
    </w:p>
    <w:p w14:paraId="07B58FE7" w14:textId="77777777" w:rsidR="00655017" w:rsidRPr="00655017" w:rsidRDefault="00655017" w:rsidP="00655017">
      <w:pPr>
        <w:tabs>
          <w:tab w:val="left" w:pos="5400"/>
        </w:tabs>
      </w:pPr>
    </w:p>
    <w:p w14:paraId="34BDABAB" w14:textId="1559F253" w:rsidR="00255F1E" w:rsidRDefault="006B721C" w:rsidP="00655017">
      <w:pPr>
        <w:pStyle w:val="Heading2"/>
      </w:pPr>
      <w:r>
        <w:lastRenderedPageBreak/>
        <w:t xml:space="preserve">How much money has been spent on improvements, </w:t>
      </w:r>
      <w:proofErr w:type="gramStart"/>
      <w:r>
        <w:t>upgrades</w:t>
      </w:r>
      <w:proofErr w:type="gramEnd"/>
      <w:r>
        <w:t xml:space="preserve"> and repairs at Mill Street police station in Paisley in the following years: 2021, 2022 and 2023.  What improvements/works were carried out?</w:t>
      </w:r>
    </w:p>
    <w:tbl>
      <w:tblPr>
        <w:tblStyle w:val="TableGrid"/>
        <w:tblW w:w="3797" w:type="dxa"/>
        <w:tblLook w:val="04A0" w:firstRow="1" w:lastRow="0" w:firstColumn="1" w:lastColumn="0" w:noHBand="0" w:noVBand="1"/>
        <w:tblCaption w:val="Example table"/>
        <w:tblDescription w:val="Example table"/>
      </w:tblPr>
      <w:tblGrid>
        <w:gridCol w:w="1898"/>
        <w:gridCol w:w="1899"/>
      </w:tblGrid>
      <w:tr w:rsidR="00655017" w:rsidRPr="00557306" w14:paraId="34BDABB1" w14:textId="77777777" w:rsidTr="00655017">
        <w:trPr>
          <w:tblHeader/>
        </w:trPr>
        <w:tc>
          <w:tcPr>
            <w:tcW w:w="1898" w:type="dxa"/>
            <w:shd w:val="clear" w:color="auto" w:fill="D9D9D9" w:themeFill="background1" w:themeFillShade="D9"/>
          </w:tcPr>
          <w:p w14:paraId="34BDABAC" w14:textId="615BAD3E" w:rsidR="00655017" w:rsidRPr="00557306" w:rsidRDefault="00655017" w:rsidP="00B654B6">
            <w:pPr>
              <w:spacing w:line="276" w:lineRule="auto"/>
              <w:rPr>
                <w:b/>
              </w:rPr>
            </w:pPr>
            <w:r>
              <w:rPr>
                <w:b/>
              </w:rPr>
              <w:t xml:space="preserve">Year </w:t>
            </w:r>
          </w:p>
        </w:tc>
        <w:tc>
          <w:tcPr>
            <w:tcW w:w="1899" w:type="dxa"/>
            <w:shd w:val="clear" w:color="auto" w:fill="D9D9D9" w:themeFill="background1" w:themeFillShade="D9"/>
          </w:tcPr>
          <w:p w14:paraId="34BDABAD" w14:textId="74273F5F" w:rsidR="00655017" w:rsidRPr="00557306" w:rsidRDefault="00655017" w:rsidP="00B654B6">
            <w:pPr>
              <w:spacing w:line="276" w:lineRule="auto"/>
              <w:rPr>
                <w:b/>
              </w:rPr>
            </w:pPr>
            <w:r>
              <w:rPr>
                <w:b/>
              </w:rPr>
              <w:t>Repair costs</w:t>
            </w:r>
          </w:p>
        </w:tc>
      </w:tr>
      <w:tr w:rsidR="00655017" w14:paraId="34BDABB7" w14:textId="77777777" w:rsidTr="00655017">
        <w:tc>
          <w:tcPr>
            <w:tcW w:w="1898" w:type="dxa"/>
          </w:tcPr>
          <w:p w14:paraId="34BDABB2" w14:textId="3517B35A" w:rsidR="00655017" w:rsidRDefault="00655017" w:rsidP="00B654B6">
            <w:pPr>
              <w:tabs>
                <w:tab w:val="left" w:pos="5400"/>
              </w:tabs>
              <w:spacing w:line="276" w:lineRule="auto"/>
            </w:pPr>
            <w:r>
              <w:t>2021/22</w:t>
            </w:r>
          </w:p>
        </w:tc>
        <w:tc>
          <w:tcPr>
            <w:tcW w:w="1899" w:type="dxa"/>
          </w:tcPr>
          <w:p w14:paraId="34BDABB3" w14:textId="2C5997FC" w:rsidR="00655017" w:rsidRDefault="00655017" w:rsidP="00B654B6">
            <w:pPr>
              <w:tabs>
                <w:tab w:val="left" w:pos="5400"/>
              </w:tabs>
              <w:spacing w:line="276" w:lineRule="auto"/>
            </w:pPr>
            <w:r>
              <w:t>£71,317.17</w:t>
            </w:r>
          </w:p>
        </w:tc>
      </w:tr>
      <w:tr w:rsidR="00655017" w14:paraId="0A546011" w14:textId="77777777" w:rsidTr="00655017">
        <w:tc>
          <w:tcPr>
            <w:tcW w:w="1898" w:type="dxa"/>
          </w:tcPr>
          <w:p w14:paraId="025E9F27" w14:textId="36EA8984" w:rsidR="00655017" w:rsidRDefault="00655017" w:rsidP="00B654B6">
            <w:pPr>
              <w:tabs>
                <w:tab w:val="left" w:pos="5400"/>
              </w:tabs>
              <w:spacing w:line="276" w:lineRule="auto"/>
            </w:pPr>
            <w:r>
              <w:t>2022/23</w:t>
            </w:r>
          </w:p>
        </w:tc>
        <w:tc>
          <w:tcPr>
            <w:tcW w:w="1899" w:type="dxa"/>
          </w:tcPr>
          <w:p w14:paraId="030C4F8C" w14:textId="15CEEED7" w:rsidR="00655017" w:rsidRDefault="00655017" w:rsidP="00B654B6">
            <w:pPr>
              <w:tabs>
                <w:tab w:val="left" w:pos="5400"/>
              </w:tabs>
              <w:spacing w:line="276" w:lineRule="auto"/>
            </w:pPr>
            <w:r>
              <w:t>£11,345.68</w:t>
            </w:r>
          </w:p>
        </w:tc>
      </w:tr>
      <w:tr w:rsidR="00655017" w14:paraId="56EE0CBF" w14:textId="77777777" w:rsidTr="00655017">
        <w:tc>
          <w:tcPr>
            <w:tcW w:w="1898" w:type="dxa"/>
          </w:tcPr>
          <w:p w14:paraId="11056AB5" w14:textId="5FC7EAA3" w:rsidR="00655017" w:rsidRDefault="00655017" w:rsidP="00B654B6">
            <w:pPr>
              <w:tabs>
                <w:tab w:val="left" w:pos="5400"/>
              </w:tabs>
              <w:spacing w:line="276" w:lineRule="auto"/>
            </w:pPr>
            <w:r>
              <w:t>2023/24</w:t>
            </w:r>
          </w:p>
        </w:tc>
        <w:tc>
          <w:tcPr>
            <w:tcW w:w="1899" w:type="dxa"/>
          </w:tcPr>
          <w:p w14:paraId="17DB663E" w14:textId="2864BF5A" w:rsidR="00655017" w:rsidRDefault="00655017" w:rsidP="00B654B6">
            <w:pPr>
              <w:tabs>
                <w:tab w:val="left" w:pos="5400"/>
              </w:tabs>
              <w:spacing w:line="276" w:lineRule="auto"/>
            </w:pPr>
            <w:r>
              <w:t>£54,727.75</w:t>
            </w:r>
          </w:p>
        </w:tc>
      </w:tr>
      <w:tr w:rsidR="00655017" w14:paraId="23C25FF2" w14:textId="77777777" w:rsidTr="00655017">
        <w:tc>
          <w:tcPr>
            <w:tcW w:w="1898" w:type="dxa"/>
          </w:tcPr>
          <w:p w14:paraId="2751028C" w14:textId="45A8997C" w:rsidR="00655017" w:rsidRDefault="00655017" w:rsidP="00B654B6">
            <w:pPr>
              <w:tabs>
                <w:tab w:val="left" w:pos="5400"/>
              </w:tabs>
              <w:spacing w:line="276" w:lineRule="auto"/>
            </w:pPr>
            <w:r>
              <w:t>Total</w:t>
            </w:r>
          </w:p>
        </w:tc>
        <w:tc>
          <w:tcPr>
            <w:tcW w:w="1899" w:type="dxa"/>
          </w:tcPr>
          <w:p w14:paraId="69DB791E" w14:textId="3CDA14BA" w:rsidR="00655017" w:rsidRDefault="00655017" w:rsidP="00B654B6">
            <w:pPr>
              <w:tabs>
                <w:tab w:val="left" w:pos="5400"/>
              </w:tabs>
              <w:spacing w:line="276" w:lineRule="auto"/>
            </w:pPr>
            <w:r>
              <w:t>£137,450.60</w:t>
            </w:r>
          </w:p>
        </w:tc>
      </w:tr>
    </w:tbl>
    <w:p w14:paraId="13A4BD42" w14:textId="77777777" w:rsidR="00CC7714" w:rsidRDefault="00CC7714" w:rsidP="00793DD5">
      <w:pPr>
        <w:tabs>
          <w:tab w:val="left" w:pos="5400"/>
        </w:tabs>
      </w:pPr>
    </w:p>
    <w:p w14:paraId="34BDABBD" w14:textId="6B2F60E2" w:rsidR="00BF6B81" w:rsidRDefault="004B43F9" w:rsidP="00793DD5">
      <w:pPr>
        <w:tabs>
          <w:tab w:val="left" w:pos="5400"/>
        </w:tabs>
      </w:pPr>
      <w:r>
        <w:t>I have included separately to this response a spreadsheet providing a list of all improvements/works carried out</w:t>
      </w:r>
      <w:r w:rsidR="00913337">
        <w:t xml:space="preserve"> during </w:t>
      </w:r>
      <w:proofErr w:type="gramStart"/>
      <w:r w:rsidR="00913337">
        <w:t>time period</w:t>
      </w:r>
      <w:proofErr w:type="gramEnd"/>
      <w:r w:rsidR="00913337">
        <w:t xml:space="preserve"> requested. </w:t>
      </w:r>
    </w:p>
    <w:p w14:paraId="50DDFAE7" w14:textId="0CD29087" w:rsidR="00CC7714" w:rsidRDefault="00CC7714" w:rsidP="00CC7714">
      <w:r>
        <w:t xml:space="preserve">I would advise that some of this information </w:t>
      </w:r>
      <w:proofErr w:type="gramStart"/>
      <w:r>
        <w:t>is considered to be</w:t>
      </w:r>
      <w:proofErr w:type="gramEnd"/>
      <w:r>
        <w:t xml:space="preserve"> exempt in terms of the Freedom of Information (Scotland) Act 2002 (the Act).  </w:t>
      </w:r>
    </w:p>
    <w:p w14:paraId="6EEF5A2A" w14:textId="77777777" w:rsidR="00CC7714" w:rsidRDefault="00CC7714" w:rsidP="00CC7714">
      <w:r>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w:t>
      </w:r>
      <w:proofErr w:type="gramStart"/>
      <w:r>
        <w:t>held</w:t>
      </w:r>
      <w:proofErr w:type="gramEnd"/>
      <w:r>
        <w:t xml:space="preserve"> and an explanation of the appropriate exemption is provided. </w:t>
      </w:r>
    </w:p>
    <w:p w14:paraId="6F62ECD3" w14:textId="77777777" w:rsidR="00CC7714" w:rsidRDefault="00CC7714" w:rsidP="00CC7714">
      <w:pPr>
        <w:tabs>
          <w:tab w:val="left" w:pos="5400"/>
        </w:tabs>
        <w:outlineLvl w:val="0"/>
        <w:rPr>
          <w:b/>
        </w:rPr>
      </w:pPr>
      <w:r>
        <w:rPr>
          <w:b/>
        </w:rPr>
        <w:t>Section 35(1) (a) and (b) Law Enforcement</w:t>
      </w:r>
    </w:p>
    <w:p w14:paraId="41244653" w14:textId="199E0D80" w:rsidR="00CC7714" w:rsidRDefault="00CC7714" w:rsidP="00CC7714">
      <w:r>
        <w:t xml:space="preserve">Release of the information requested would adversely impact on the operational effectiveness of the Service. Being aware of some of these outstanding repairs/repairs previously needed within this location could allow persons or groups intent on committing offences, or causing disorder, with </w:t>
      </w:r>
      <w:r w:rsidR="00F600C6">
        <w:t>information</w:t>
      </w:r>
      <w:r>
        <w:t xml:space="preserve"> </w:t>
      </w:r>
      <w:r w:rsidR="00F600C6">
        <w:t>which could</w:t>
      </w:r>
      <w:r>
        <w:t xml:space="preserve"> </w:t>
      </w:r>
      <w:r w:rsidRPr="0064188A">
        <w:t xml:space="preserve">be </w:t>
      </w:r>
      <w:r w:rsidR="00F600C6">
        <w:t>a</w:t>
      </w:r>
      <w:r w:rsidRPr="0064188A">
        <w:t xml:space="preserve"> security risk and a risk Police Scotland staff and officer safety.   </w:t>
      </w:r>
    </w:p>
    <w:p w14:paraId="27AAB8BE" w14:textId="77777777" w:rsidR="00CC7714" w:rsidRDefault="00CC7714" w:rsidP="00CC7714">
      <w:pPr>
        <w:tabs>
          <w:tab w:val="left" w:pos="5400"/>
        </w:tabs>
        <w:outlineLvl w:val="0"/>
      </w:pPr>
      <w:r>
        <w:t>This is a non-absolute exemption which requires the application of the public interest test.</w:t>
      </w:r>
    </w:p>
    <w:p w14:paraId="5B7E1BA7" w14:textId="77777777" w:rsidR="00CC7714" w:rsidRDefault="00CC7714" w:rsidP="00CC7714">
      <w:pPr>
        <w:tabs>
          <w:tab w:val="left" w:pos="5400"/>
        </w:tabs>
        <w:outlineLvl w:val="0"/>
        <w:rPr>
          <w:b/>
        </w:rPr>
      </w:pPr>
      <w:r>
        <w:rPr>
          <w:b/>
        </w:rPr>
        <w:t xml:space="preserve">Public Interest Test </w:t>
      </w:r>
    </w:p>
    <w:p w14:paraId="0FF7AC37" w14:textId="5F78A670" w:rsidR="00CC7714" w:rsidRDefault="00CC7714" w:rsidP="00CC7714">
      <w:pPr>
        <w:tabs>
          <w:tab w:val="left" w:pos="5400"/>
        </w:tabs>
        <w:outlineLvl w:val="0"/>
        <w:rPr>
          <w:iCs/>
        </w:rPr>
      </w:pPr>
      <w:r>
        <w:rPr>
          <w:iCs/>
        </w:rPr>
        <w:t xml:space="preserve">Public awareness and accountability would favour a disclosure on this subject as it would contribute to the public debate surrounding the efficient and effective use of resources by </w:t>
      </w:r>
      <w:r>
        <w:rPr>
          <w:iCs/>
        </w:rPr>
        <w:lastRenderedPageBreak/>
        <w:t xml:space="preserve">the Service. However, in contrast, there is no public interest in disclosing information which is likely to damage the efficient and effective conduct of the police service in relation to its law enforcement role, or which is likely to have an adverse impact upon public safety. </w:t>
      </w:r>
    </w:p>
    <w:p w14:paraId="2333DDF1" w14:textId="4F672946" w:rsidR="00CC7714" w:rsidRDefault="00F600C6" w:rsidP="00CC7714">
      <w:pPr>
        <w:tabs>
          <w:tab w:val="left" w:pos="5400"/>
        </w:tabs>
        <w:outlineLvl w:val="0"/>
        <w:rPr>
          <w:iCs/>
        </w:rPr>
      </w:pPr>
      <w:r>
        <w:rPr>
          <w:iCs/>
        </w:rPr>
        <w:t xml:space="preserve">Accordingly, </w:t>
      </w:r>
      <w:r w:rsidR="00CC7714">
        <w:rPr>
          <w:iCs/>
        </w:rPr>
        <w:t>I consider that the decision must fall in favour of preventing crime and safeguarding the health and safety of</w:t>
      </w:r>
      <w:r>
        <w:rPr>
          <w:iCs/>
        </w:rPr>
        <w:t xml:space="preserve"> police employees and</w:t>
      </w:r>
      <w:r w:rsidR="00CC7714">
        <w:rPr>
          <w:iCs/>
        </w:rPr>
        <w:t xml:space="preserve"> the public</w:t>
      </w:r>
      <w:r>
        <w:rPr>
          <w:iCs/>
        </w:rPr>
        <w:t>, therefore</w:t>
      </w:r>
      <w:r w:rsidR="00CC7714">
        <w:rPr>
          <w:iCs/>
        </w:rPr>
        <w:t>, on balance, the public interest in disclosing the information requested is outweighed by that in maintaining the exemptions detailed above.</w:t>
      </w:r>
    </w:p>
    <w:p w14:paraId="6751D584" w14:textId="77777777" w:rsidR="00642BB1" w:rsidRPr="00642BB1" w:rsidRDefault="00642BB1" w:rsidP="00642BB1">
      <w:pPr>
        <w:keepNext/>
        <w:keepLines/>
        <w:spacing w:before="40"/>
        <w:outlineLvl w:val="1"/>
        <w:rPr>
          <w:rFonts w:eastAsiaTheme="majorEastAsia" w:cstheme="majorBidi"/>
          <w:b/>
          <w:color w:val="000000" w:themeColor="text1"/>
          <w:szCs w:val="26"/>
        </w:rPr>
      </w:pPr>
      <w:r w:rsidRPr="00642BB1">
        <w:rPr>
          <w:rFonts w:eastAsiaTheme="majorEastAsia" w:cstheme="majorBidi"/>
          <w:b/>
          <w:color w:val="000000" w:themeColor="text1"/>
          <w:szCs w:val="26"/>
        </w:rPr>
        <w:t>Section 38(1) (b) of the Act - personal information.</w:t>
      </w:r>
    </w:p>
    <w:p w14:paraId="497925EF" w14:textId="77777777" w:rsidR="00642BB1" w:rsidRPr="00642BB1" w:rsidRDefault="00642BB1" w:rsidP="00642BB1">
      <w:r w:rsidRPr="00642BB1">
        <w:t>Personal data is defined in Article 4 of the General Data Protection Regulation (GDPR) as:</w:t>
      </w:r>
    </w:p>
    <w:p w14:paraId="47B11AC4" w14:textId="77777777" w:rsidR="00642BB1" w:rsidRPr="00642BB1" w:rsidRDefault="00642BB1" w:rsidP="00642BB1">
      <w:r w:rsidRPr="00642BB1">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w:t>
      </w:r>
      <w:proofErr w:type="gramStart"/>
      <w:r w:rsidRPr="00642BB1">
        <w:t>person’</w:t>
      </w:r>
      <w:proofErr w:type="gramEnd"/>
    </w:p>
    <w:p w14:paraId="705C9BFB" w14:textId="77777777" w:rsidR="00642BB1" w:rsidRPr="00642BB1" w:rsidRDefault="00642BB1" w:rsidP="00642BB1">
      <w:r w:rsidRPr="00642BB1">
        <w:t>Section 38(2A) of the Act provides that personal data is exempt from disclosure where disclosure would contravene any of the data protection principles set out at Article 5(1) of the GDPR which states that:</w:t>
      </w:r>
    </w:p>
    <w:p w14:paraId="2BD8D0AA" w14:textId="77777777" w:rsidR="00642BB1" w:rsidRPr="00642BB1" w:rsidRDefault="00642BB1" w:rsidP="00642BB1">
      <w:r w:rsidRPr="00642BB1">
        <w:t xml:space="preserve">‘Personal data shall be processed lawfully, fairly and in a transparent manner in relation to the data </w:t>
      </w:r>
      <w:proofErr w:type="gramStart"/>
      <w:r w:rsidRPr="00642BB1">
        <w:t>subject’</w:t>
      </w:r>
      <w:proofErr w:type="gramEnd"/>
    </w:p>
    <w:p w14:paraId="37C9D390" w14:textId="77777777" w:rsidR="00642BB1" w:rsidRPr="00642BB1" w:rsidRDefault="00642BB1" w:rsidP="00642BB1">
      <w:r w:rsidRPr="00642BB1">
        <w:t>Article 6 of the GDPR goes on to state that processing shall be lawful only if certain conditions are met.  The only potentially applicable condition is Article 6(1) (f) which states:</w:t>
      </w:r>
    </w:p>
    <w:p w14:paraId="54C611EE" w14:textId="77777777" w:rsidR="00642BB1" w:rsidRPr="00642BB1" w:rsidRDefault="00642BB1" w:rsidP="00642BB1">
      <w:r w:rsidRPr="00642BB1">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4DAAB066" w14:textId="77777777" w:rsidR="00642BB1" w:rsidRPr="00642BB1" w:rsidRDefault="00642BB1" w:rsidP="00642BB1">
      <w:r w:rsidRPr="00642BB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14:paraId="3A083123" w14:textId="400761AA" w:rsidR="00642BB1" w:rsidRPr="00642BB1" w:rsidRDefault="00642BB1" w:rsidP="00642BB1">
      <w:r w:rsidRPr="00642BB1">
        <w:t>This is an absolute exemption and does not require the application of the public interest test.</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C999F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00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05E6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00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F906D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00C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1BB456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00C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A76AA2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00C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E676BC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00C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B43F9"/>
    <w:rsid w:val="004E1605"/>
    <w:rsid w:val="004F653C"/>
    <w:rsid w:val="00540A52"/>
    <w:rsid w:val="00557306"/>
    <w:rsid w:val="00642BB1"/>
    <w:rsid w:val="00645CFA"/>
    <w:rsid w:val="00655017"/>
    <w:rsid w:val="006B721C"/>
    <w:rsid w:val="006D5799"/>
    <w:rsid w:val="00750D83"/>
    <w:rsid w:val="00785DBC"/>
    <w:rsid w:val="00793DD5"/>
    <w:rsid w:val="007D55F6"/>
    <w:rsid w:val="007F490F"/>
    <w:rsid w:val="0086779C"/>
    <w:rsid w:val="00874BFD"/>
    <w:rsid w:val="008964EF"/>
    <w:rsid w:val="008D0D90"/>
    <w:rsid w:val="00913337"/>
    <w:rsid w:val="00915E01"/>
    <w:rsid w:val="009631A4"/>
    <w:rsid w:val="00977296"/>
    <w:rsid w:val="00A25E93"/>
    <w:rsid w:val="00A320FF"/>
    <w:rsid w:val="00A70AC0"/>
    <w:rsid w:val="00A84EA9"/>
    <w:rsid w:val="00AC443C"/>
    <w:rsid w:val="00B11A55"/>
    <w:rsid w:val="00B17211"/>
    <w:rsid w:val="00B461B2"/>
    <w:rsid w:val="00B654B6"/>
    <w:rsid w:val="00B71B3C"/>
    <w:rsid w:val="00B77872"/>
    <w:rsid w:val="00BC389E"/>
    <w:rsid w:val="00BE1888"/>
    <w:rsid w:val="00BF6B81"/>
    <w:rsid w:val="00C077A8"/>
    <w:rsid w:val="00C14FF4"/>
    <w:rsid w:val="00C606A2"/>
    <w:rsid w:val="00C63872"/>
    <w:rsid w:val="00C84948"/>
    <w:rsid w:val="00CC7714"/>
    <w:rsid w:val="00CF1111"/>
    <w:rsid w:val="00D05706"/>
    <w:rsid w:val="00D27DC5"/>
    <w:rsid w:val="00D47E36"/>
    <w:rsid w:val="00E55D79"/>
    <w:rsid w:val="00E70AC5"/>
    <w:rsid w:val="00EE2373"/>
    <w:rsid w:val="00EF4761"/>
    <w:rsid w:val="00F600C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20148">
      <w:bodyDiv w:val="1"/>
      <w:marLeft w:val="0"/>
      <w:marRight w:val="0"/>
      <w:marTop w:val="0"/>
      <w:marBottom w:val="0"/>
      <w:divBdr>
        <w:top w:val="none" w:sz="0" w:space="0" w:color="auto"/>
        <w:left w:val="none" w:sz="0" w:space="0" w:color="auto"/>
        <w:bottom w:val="none" w:sz="0" w:space="0" w:color="auto"/>
        <w:right w:val="none" w:sz="0" w:space="0" w:color="auto"/>
      </w:divBdr>
    </w:div>
    <w:div w:id="491920281">
      <w:bodyDiv w:val="1"/>
      <w:marLeft w:val="0"/>
      <w:marRight w:val="0"/>
      <w:marTop w:val="0"/>
      <w:marBottom w:val="0"/>
      <w:divBdr>
        <w:top w:val="none" w:sz="0" w:space="0" w:color="auto"/>
        <w:left w:val="none" w:sz="0" w:space="0" w:color="auto"/>
        <w:bottom w:val="none" w:sz="0" w:space="0" w:color="auto"/>
        <w:right w:val="none" w:sz="0" w:space="0" w:color="auto"/>
      </w:divBdr>
    </w:div>
    <w:div w:id="10683054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0e32d40b-a8f5-4c24-a46b-b72b5f0b9b52"/>
    <ds:schemaRef ds:uri="http://purl.org/dc/terms/"/>
    <ds:schemaRef ds:uri="http://schemas.microsoft.com/office/infopath/2007/PartnerControls"/>
    <ds:schemaRef ds:uri="http://purl.org/dc/dcmitype/"/>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904</Words>
  <Characters>5157</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2024-02-13T15:59:00Z</dcterms:created>
  <dcterms:modified xsi:type="dcterms:W3CDTF">2024-03-18T15:11:00Z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