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84D1DE0" w:rsidR="00B17211" w:rsidRPr="00B17211" w:rsidRDefault="00B17211" w:rsidP="007F490F">
            <w:r w:rsidRPr="007F490F">
              <w:rPr>
                <w:rStyle w:val="Heading2Char"/>
              </w:rPr>
              <w:t>Our reference:</w:t>
            </w:r>
            <w:r>
              <w:t xml:space="preserve">  FOI 2</w:t>
            </w:r>
            <w:r w:rsidR="00B654B6">
              <w:t>4</w:t>
            </w:r>
            <w:r>
              <w:t>-</w:t>
            </w:r>
            <w:r w:rsidR="00DB4311">
              <w:t>1220</w:t>
            </w:r>
          </w:p>
          <w:p w14:paraId="34BDABA6" w14:textId="64BB8B76" w:rsidR="00B17211" w:rsidRDefault="00456324" w:rsidP="00EE2373">
            <w:r w:rsidRPr="007F490F">
              <w:rPr>
                <w:rStyle w:val="Heading2Char"/>
              </w:rPr>
              <w:t>Respon</w:t>
            </w:r>
            <w:r w:rsidR="007D55F6">
              <w:rPr>
                <w:rStyle w:val="Heading2Char"/>
              </w:rPr>
              <w:t>ded to:</w:t>
            </w:r>
            <w:r w:rsidR="007F490F">
              <w:t xml:space="preserve">  </w:t>
            </w:r>
            <w:r w:rsidR="00DB4311">
              <w:t>27</w:t>
            </w:r>
            <w:r w:rsidR="00DB4311" w:rsidRPr="00DB4311">
              <w:rPr>
                <w:vertAlign w:val="superscript"/>
              </w:rPr>
              <w:t>th</w:t>
            </w:r>
            <w:r w:rsidR="00DB4311">
              <w:t xml:space="preserve"> May</w:t>
            </w:r>
            <w:r>
              <w:t xml:space="preserve"> 202</w:t>
            </w:r>
            <w:r w:rsidR="00B654B6">
              <w:t>4</w:t>
            </w:r>
          </w:p>
        </w:tc>
      </w:tr>
    </w:tbl>
    <w:p w14:paraId="648F3343" w14:textId="75D9859C" w:rsidR="009411AF" w:rsidRPr="00A433A4" w:rsidRDefault="00793DD5" w:rsidP="00A433A4">
      <w:pPr>
        <w:rPr>
          <w:b/>
        </w:rPr>
      </w:pPr>
      <w:r w:rsidRPr="00793DD5">
        <w:t xml:space="preserve">Your recent request for information is replicated below, together with </w:t>
      </w:r>
      <w:r w:rsidR="004341F0">
        <w:t>our</w:t>
      </w:r>
      <w:r w:rsidRPr="00793DD5">
        <w:t xml:space="preserve"> response.</w:t>
      </w:r>
    </w:p>
    <w:p w14:paraId="32F3E8C6" w14:textId="0A547167" w:rsidR="009411AF" w:rsidRDefault="009411AF" w:rsidP="009411AF">
      <w:pPr>
        <w:pStyle w:val="Heading2"/>
        <w:rPr>
          <w:rFonts w:eastAsia="Times New Roman"/>
        </w:rPr>
      </w:pPr>
      <w:r>
        <w:rPr>
          <w:rFonts w:eastAsia="Times New Roman"/>
        </w:rPr>
        <w:t>Please can you provide the following information from 01/05/2019 to 01/05/2024 -</w:t>
      </w:r>
    </w:p>
    <w:p w14:paraId="75A80A49" w14:textId="748D2C32" w:rsidR="009411AF" w:rsidRDefault="009411AF" w:rsidP="009411AF">
      <w:pPr>
        <w:pStyle w:val="Heading2"/>
        <w:rPr>
          <w:rFonts w:eastAsia="Times New Roman"/>
        </w:rPr>
      </w:pPr>
      <w:r>
        <w:rPr>
          <w:rFonts w:eastAsia="Times New Roman"/>
        </w:rPr>
        <w:t>The total number of shoplifting offences logged by the force.</w:t>
      </w:r>
    </w:p>
    <w:p w14:paraId="25061065" w14:textId="4678BF8F" w:rsidR="009411AF" w:rsidRDefault="00317C6C" w:rsidP="009411AF">
      <w:r>
        <w:t>F</w:t>
      </w:r>
      <w:r w:rsidR="009411AF">
        <w:t>or the period 1 May 2019 to 1 May 2024 Police Scotland recorded 142,260 shoplifting offences</w:t>
      </w:r>
      <w:r>
        <w:t>:</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080"/>
        <w:gridCol w:w="960"/>
        <w:gridCol w:w="960"/>
        <w:gridCol w:w="960"/>
        <w:gridCol w:w="960"/>
        <w:gridCol w:w="1084"/>
      </w:tblGrid>
      <w:tr w:rsidR="00317C6C" w:rsidRPr="00317C6C" w14:paraId="253133C1" w14:textId="77777777" w:rsidTr="00317C6C">
        <w:trPr>
          <w:trHeight w:val="330"/>
        </w:trPr>
        <w:tc>
          <w:tcPr>
            <w:tcW w:w="3964" w:type="dxa"/>
            <w:shd w:val="clear" w:color="auto" w:fill="D9D9D9" w:themeFill="background1" w:themeFillShade="D9"/>
            <w:noWrap/>
            <w:vAlign w:val="bottom"/>
            <w:hideMark/>
          </w:tcPr>
          <w:p w14:paraId="57EFB269" w14:textId="0AB2B97C" w:rsidR="00317C6C" w:rsidRPr="00317C6C" w:rsidRDefault="00317C6C" w:rsidP="00317C6C">
            <w:pPr>
              <w:spacing w:line="276" w:lineRule="auto"/>
              <w:rPr>
                <w:b/>
                <w:bCs/>
              </w:rPr>
            </w:pPr>
            <w:r>
              <w:rPr>
                <w:b/>
                <w:bCs/>
              </w:rPr>
              <w:t>Calendar Year</w:t>
            </w:r>
          </w:p>
        </w:tc>
        <w:tc>
          <w:tcPr>
            <w:tcW w:w="1080" w:type="dxa"/>
            <w:shd w:val="clear" w:color="auto" w:fill="D9D9D9" w:themeFill="background1" w:themeFillShade="D9"/>
            <w:noWrap/>
            <w:vAlign w:val="bottom"/>
            <w:hideMark/>
          </w:tcPr>
          <w:p w14:paraId="219C508B" w14:textId="77777777" w:rsidR="00317C6C" w:rsidRPr="00317C6C" w:rsidRDefault="00317C6C" w:rsidP="00317C6C">
            <w:pPr>
              <w:spacing w:line="276" w:lineRule="auto"/>
              <w:rPr>
                <w:b/>
                <w:bCs/>
              </w:rPr>
            </w:pPr>
            <w:r w:rsidRPr="00317C6C">
              <w:rPr>
                <w:b/>
                <w:bCs/>
              </w:rPr>
              <w:t>2019*</w:t>
            </w:r>
          </w:p>
        </w:tc>
        <w:tc>
          <w:tcPr>
            <w:tcW w:w="960" w:type="dxa"/>
            <w:shd w:val="clear" w:color="auto" w:fill="D9D9D9" w:themeFill="background1" w:themeFillShade="D9"/>
            <w:noWrap/>
            <w:vAlign w:val="bottom"/>
            <w:hideMark/>
          </w:tcPr>
          <w:p w14:paraId="04CABBA4" w14:textId="77777777" w:rsidR="00317C6C" w:rsidRPr="00317C6C" w:rsidRDefault="00317C6C" w:rsidP="00317C6C">
            <w:pPr>
              <w:spacing w:line="276" w:lineRule="auto"/>
              <w:rPr>
                <w:b/>
                <w:bCs/>
              </w:rPr>
            </w:pPr>
            <w:r w:rsidRPr="00317C6C">
              <w:rPr>
                <w:b/>
                <w:bCs/>
              </w:rPr>
              <w:t>2020</w:t>
            </w:r>
          </w:p>
        </w:tc>
        <w:tc>
          <w:tcPr>
            <w:tcW w:w="960" w:type="dxa"/>
            <w:shd w:val="clear" w:color="auto" w:fill="D9D9D9" w:themeFill="background1" w:themeFillShade="D9"/>
            <w:noWrap/>
            <w:vAlign w:val="bottom"/>
            <w:hideMark/>
          </w:tcPr>
          <w:p w14:paraId="708D3F91" w14:textId="77777777" w:rsidR="00317C6C" w:rsidRPr="00317C6C" w:rsidRDefault="00317C6C" w:rsidP="00317C6C">
            <w:pPr>
              <w:spacing w:line="276" w:lineRule="auto"/>
              <w:rPr>
                <w:b/>
                <w:bCs/>
              </w:rPr>
            </w:pPr>
            <w:r w:rsidRPr="00317C6C">
              <w:rPr>
                <w:b/>
                <w:bCs/>
              </w:rPr>
              <w:t>2021</w:t>
            </w:r>
          </w:p>
        </w:tc>
        <w:tc>
          <w:tcPr>
            <w:tcW w:w="960" w:type="dxa"/>
            <w:shd w:val="clear" w:color="auto" w:fill="D9D9D9" w:themeFill="background1" w:themeFillShade="D9"/>
            <w:noWrap/>
            <w:vAlign w:val="bottom"/>
            <w:hideMark/>
          </w:tcPr>
          <w:p w14:paraId="75CC9855" w14:textId="77777777" w:rsidR="00317C6C" w:rsidRPr="00317C6C" w:rsidRDefault="00317C6C" w:rsidP="00317C6C">
            <w:pPr>
              <w:spacing w:line="276" w:lineRule="auto"/>
              <w:rPr>
                <w:b/>
                <w:bCs/>
              </w:rPr>
            </w:pPr>
            <w:r w:rsidRPr="00317C6C">
              <w:rPr>
                <w:b/>
                <w:bCs/>
              </w:rPr>
              <w:t>2022</w:t>
            </w:r>
          </w:p>
        </w:tc>
        <w:tc>
          <w:tcPr>
            <w:tcW w:w="960" w:type="dxa"/>
            <w:shd w:val="clear" w:color="auto" w:fill="D9D9D9" w:themeFill="background1" w:themeFillShade="D9"/>
            <w:noWrap/>
            <w:vAlign w:val="bottom"/>
            <w:hideMark/>
          </w:tcPr>
          <w:p w14:paraId="44FCDC0E" w14:textId="77777777" w:rsidR="00317C6C" w:rsidRPr="00317C6C" w:rsidRDefault="00317C6C" w:rsidP="00317C6C">
            <w:pPr>
              <w:spacing w:line="276" w:lineRule="auto"/>
              <w:rPr>
                <w:b/>
                <w:bCs/>
              </w:rPr>
            </w:pPr>
            <w:r w:rsidRPr="00317C6C">
              <w:rPr>
                <w:b/>
                <w:bCs/>
              </w:rPr>
              <w:t>2023</w:t>
            </w:r>
          </w:p>
        </w:tc>
        <w:tc>
          <w:tcPr>
            <w:tcW w:w="1084" w:type="dxa"/>
            <w:shd w:val="clear" w:color="auto" w:fill="D9D9D9" w:themeFill="background1" w:themeFillShade="D9"/>
            <w:noWrap/>
            <w:vAlign w:val="bottom"/>
            <w:hideMark/>
          </w:tcPr>
          <w:p w14:paraId="3392E392" w14:textId="77777777" w:rsidR="00317C6C" w:rsidRPr="00317C6C" w:rsidRDefault="00317C6C" w:rsidP="00317C6C">
            <w:pPr>
              <w:spacing w:line="276" w:lineRule="auto"/>
              <w:rPr>
                <w:b/>
                <w:bCs/>
              </w:rPr>
            </w:pPr>
            <w:r w:rsidRPr="00317C6C">
              <w:rPr>
                <w:b/>
                <w:bCs/>
              </w:rPr>
              <w:t>2024*</w:t>
            </w:r>
          </w:p>
        </w:tc>
      </w:tr>
      <w:tr w:rsidR="00317C6C" w:rsidRPr="00317C6C" w14:paraId="5E8EEB20" w14:textId="77777777" w:rsidTr="00317C6C">
        <w:trPr>
          <w:trHeight w:val="315"/>
        </w:trPr>
        <w:tc>
          <w:tcPr>
            <w:tcW w:w="3964" w:type="dxa"/>
            <w:shd w:val="clear" w:color="auto" w:fill="auto"/>
            <w:noWrap/>
            <w:vAlign w:val="bottom"/>
            <w:hideMark/>
          </w:tcPr>
          <w:p w14:paraId="249B59AE" w14:textId="53DFC858" w:rsidR="00317C6C" w:rsidRPr="00317C6C" w:rsidRDefault="00317C6C" w:rsidP="00317C6C">
            <w:pPr>
              <w:spacing w:line="276" w:lineRule="auto"/>
            </w:pPr>
            <w:r>
              <w:t>Shoplifting recorded crimes</w:t>
            </w:r>
          </w:p>
        </w:tc>
        <w:tc>
          <w:tcPr>
            <w:tcW w:w="1080" w:type="dxa"/>
            <w:shd w:val="clear" w:color="auto" w:fill="auto"/>
            <w:noWrap/>
            <w:vAlign w:val="bottom"/>
            <w:hideMark/>
          </w:tcPr>
          <w:p w14:paraId="76CC26FF" w14:textId="3D636E3D" w:rsidR="00317C6C" w:rsidRPr="00317C6C" w:rsidRDefault="00317C6C" w:rsidP="00317C6C">
            <w:pPr>
              <w:spacing w:line="276" w:lineRule="auto"/>
            </w:pPr>
            <w:r w:rsidRPr="00317C6C">
              <w:t>20</w:t>
            </w:r>
            <w:r w:rsidR="000C7D10">
              <w:t>,</w:t>
            </w:r>
            <w:r w:rsidRPr="00317C6C">
              <w:t>886</w:t>
            </w:r>
          </w:p>
        </w:tc>
        <w:tc>
          <w:tcPr>
            <w:tcW w:w="960" w:type="dxa"/>
            <w:shd w:val="clear" w:color="auto" w:fill="auto"/>
            <w:noWrap/>
            <w:vAlign w:val="bottom"/>
            <w:hideMark/>
          </w:tcPr>
          <w:p w14:paraId="11010D16" w14:textId="60F1AD98" w:rsidR="00317C6C" w:rsidRPr="00317C6C" w:rsidRDefault="00317C6C" w:rsidP="00317C6C">
            <w:pPr>
              <w:spacing w:line="276" w:lineRule="auto"/>
            </w:pPr>
            <w:r w:rsidRPr="00317C6C">
              <w:t>22</w:t>
            </w:r>
            <w:r w:rsidR="000C7D10">
              <w:t>,</w:t>
            </w:r>
            <w:r w:rsidRPr="00317C6C">
              <w:t>979</w:t>
            </w:r>
          </w:p>
        </w:tc>
        <w:tc>
          <w:tcPr>
            <w:tcW w:w="960" w:type="dxa"/>
            <w:shd w:val="clear" w:color="auto" w:fill="auto"/>
            <w:noWrap/>
            <w:vAlign w:val="bottom"/>
            <w:hideMark/>
          </w:tcPr>
          <w:p w14:paraId="705FAFA0" w14:textId="63540A16" w:rsidR="00317C6C" w:rsidRPr="00317C6C" w:rsidRDefault="00317C6C" w:rsidP="00317C6C">
            <w:pPr>
              <w:spacing w:line="276" w:lineRule="auto"/>
            </w:pPr>
            <w:r w:rsidRPr="00317C6C">
              <w:t>21</w:t>
            </w:r>
            <w:r w:rsidR="000C7D10">
              <w:t>,</w:t>
            </w:r>
            <w:r w:rsidRPr="00317C6C">
              <w:t>263</w:t>
            </w:r>
          </w:p>
        </w:tc>
        <w:tc>
          <w:tcPr>
            <w:tcW w:w="960" w:type="dxa"/>
            <w:shd w:val="clear" w:color="auto" w:fill="auto"/>
            <w:noWrap/>
            <w:vAlign w:val="bottom"/>
            <w:hideMark/>
          </w:tcPr>
          <w:p w14:paraId="21E17487" w14:textId="576F7F50" w:rsidR="00317C6C" w:rsidRPr="00317C6C" w:rsidRDefault="00317C6C" w:rsidP="00317C6C">
            <w:pPr>
              <w:spacing w:line="276" w:lineRule="auto"/>
            </w:pPr>
            <w:r w:rsidRPr="00317C6C">
              <w:t>26</w:t>
            </w:r>
            <w:r w:rsidR="000C7D10">
              <w:t>,</w:t>
            </w:r>
            <w:r w:rsidRPr="00317C6C">
              <w:t>777</w:t>
            </w:r>
          </w:p>
        </w:tc>
        <w:tc>
          <w:tcPr>
            <w:tcW w:w="960" w:type="dxa"/>
            <w:shd w:val="clear" w:color="auto" w:fill="auto"/>
            <w:noWrap/>
            <w:vAlign w:val="bottom"/>
            <w:hideMark/>
          </w:tcPr>
          <w:p w14:paraId="61402BFE" w14:textId="5C243AA1" w:rsidR="00317C6C" w:rsidRPr="00317C6C" w:rsidRDefault="00317C6C" w:rsidP="00317C6C">
            <w:pPr>
              <w:spacing w:line="276" w:lineRule="auto"/>
            </w:pPr>
            <w:r w:rsidRPr="00317C6C">
              <w:t>36</w:t>
            </w:r>
            <w:r w:rsidR="000C7D10">
              <w:t>,</w:t>
            </w:r>
            <w:r w:rsidRPr="00317C6C">
              <w:t>725</w:t>
            </w:r>
          </w:p>
        </w:tc>
        <w:tc>
          <w:tcPr>
            <w:tcW w:w="1084" w:type="dxa"/>
            <w:shd w:val="clear" w:color="auto" w:fill="auto"/>
            <w:noWrap/>
            <w:vAlign w:val="bottom"/>
            <w:hideMark/>
          </w:tcPr>
          <w:p w14:paraId="75E49E04" w14:textId="56099498" w:rsidR="00317C6C" w:rsidRPr="00317C6C" w:rsidRDefault="00317C6C" w:rsidP="00317C6C">
            <w:pPr>
              <w:spacing w:line="276" w:lineRule="auto"/>
            </w:pPr>
            <w:r w:rsidRPr="00317C6C">
              <w:t>13</w:t>
            </w:r>
            <w:r w:rsidR="000C7D10">
              <w:t>,</w:t>
            </w:r>
            <w:r w:rsidRPr="00317C6C">
              <w:t>630</w:t>
            </w:r>
          </w:p>
        </w:tc>
      </w:tr>
    </w:tbl>
    <w:p w14:paraId="6A965DE6" w14:textId="77777777" w:rsidR="00317C6C" w:rsidRDefault="00317C6C" w:rsidP="009411AF"/>
    <w:p w14:paraId="703CDC6E" w14:textId="6EBB0D8C" w:rsidR="00317C6C" w:rsidRDefault="00317C6C" w:rsidP="00317C6C">
      <w:r>
        <w:t>* Part year data - May to December 2019 and January to May 2024.</w:t>
      </w:r>
      <w:r>
        <w:br/>
      </w:r>
      <w:r>
        <w:t xml:space="preserve">All statistics are provisional and should be treated as management information. </w:t>
      </w:r>
      <w:r>
        <w:br/>
      </w:r>
      <w:r>
        <w:t>All data have been extracted from Police Scotland internal systems and are correct as at 20/5/2024.</w:t>
      </w:r>
      <w:r>
        <w:t xml:space="preserve">  Da</w:t>
      </w:r>
      <w:r>
        <w:t xml:space="preserve">ta was extracted using the crime's raised date and SGJD code 302203 - Theft </w:t>
      </w:r>
      <w:r>
        <w:t>by</w:t>
      </w:r>
      <w:r>
        <w:t xml:space="preserve"> Shoplifting.</w:t>
      </w:r>
      <w:r>
        <w:tab/>
      </w:r>
      <w:r>
        <w:tab/>
      </w:r>
      <w:r>
        <w:tab/>
      </w:r>
      <w:r>
        <w:tab/>
      </w:r>
      <w:r>
        <w:tab/>
      </w:r>
    </w:p>
    <w:p w14:paraId="7FD1003B" w14:textId="5F44CDEE" w:rsidR="009411AF" w:rsidRPr="009411AF" w:rsidRDefault="00317C6C" w:rsidP="00317C6C">
      <w:r>
        <w:tab/>
      </w:r>
      <w:r>
        <w:tab/>
      </w:r>
      <w:r>
        <w:tab/>
      </w:r>
      <w:r>
        <w:tab/>
      </w:r>
      <w:r>
        <w:tab/>
      </w:r>
    </w:p>
    <w:p w14:paraId="4A9F9485" w14:textId="77777777" w:rsidR="009411AF" w:rsidRDefault="009411AF" w:rsidP="009411AF">
      <w:pPr>
        <w:pStyle w:val="Heading2"/>
        <w:rPr>
          <w:rFonts w:eastAsia="Times New Roman"/>
        </w:rPr>
      </w:pPr>
      <w:r>
        <w:rPr>
          <w:rFonts w:eastAsia="Times New Roman"/>
        </w:rPr>
        <w:t>Of those, the number of shoplifting offences that were listed as occurring at a supermarket, or mentioned Tesco, ASDA, Sainsbury’s, Aldi, Lidl, Morrison’s, Iceland, Waitrose or Marks and Spencer</w:t>
      </w:r>
    </w:p>
    <w:p w14:paraId="3DA9C0F0" w14:textId="77777777" w:rsidR="00317C6C" w:rsidRDefault="009411AF" w:rsidP="009411AF">
      <w:r>
        <w:t>Due to the large numbers of recorded offences, I unfortunately</w:t>
      </w:r>
      <w:r w:rsidRPr="00453F0A">
        <w:t xml:space="preserve"> estimate that it would cost well </w:t>
      </w:r>
      <w:proofErr w:type="gramStart"/>
      <w:r w:rsidRPr="00453F0A">
        <w:t>in excess</w:t>
      </w:r>
      <w:r>
        <w:t xml:space="preserve"> of</w:t>
      </w:r>
      <w:proofErr w:type="gramEnd"/>
      <w:r w:rsidRPr="00453F0A">
        <w:t xml:space="preserve"> </w:t>
      </w:r>
      <w:r>
        <w:t>t</w:t>
      </w:r>
      <w:r w:rsidRPr="00453F0A">
        <w:t xml:space="preserve">he </w:t>
      </w:r>
      <w:r w:rsidRPr="00982D19">
        <w:t>current FOI cost threshold</w:t>
      </w:r>
      <w:r>
        <w:t xml:space="preserve"> of </w:t>
      </w:r>
      <w:r w:rsidRPr="00453F0A">
        <w:t>£600</w:t>
      </w:r>
      <w:r>
        <w:t xml:space="preserve"> to process your request.  </w:t>
      </w:r>
    </w:p>
    <w:p w14:paraId="75106A5B" w14:textId="345B87A9" w:rsidR="009411AF" w:rsidRDefault="009411AF" w:rsidP="009411AF">
      <w:r>
        <w:t>I am therefore refusing to provide the information sought in terms of s</w:t>
      </w:r>
      <w:r w:rsidRPr="00453F0A">
        <w:t xml:space="preserve">ection 12(1) </w:t>
      </w:r>
      <w:r>
        <w:t xml:space="preserve">of the Act - </w:t>
      </w:r>
      <w:r w:rsidRPr="00453F0A">
        <w:t>Excessive Cost of Compliance.</w:t>
      </w:r>
    </w:p>
    <w:p w14:paraId="25C65F65" w14:textId="77777777" w:rsidR="00317C6C" w:rsidRDefault="009411AF" w:rsidP="009411AF">
      <w:r>
        <w:t xml:space="preserve">By way of explanation, offences are not recorded by locus of business type i.e., supermarkets. </w:t>
      </w:r>
    </w:p>
    <w:p w14:paraId="3CE8DF78" w14:textId="0AA2E20A" w:rsidR="009411AF" w:rsidRDefault="009411AF" w:rsidP="009411AF">
      <w:r>
        <w:lastRenderedPageBreak/>
        <w:t xml:space="preserve">To find this information each of the 142,260 records would need to be manually assessed to determine relevance. This is an exercise that would far exceed the cost threshold set out within the Act. </w:t>
      </w:r>
    </w:p>
    <w:p w14:paraId="555719B8" w14:textId="77777777" w:rsidR="009411AF" w:rsidRPr="009411AF" w:rsidRDefault="009411AF" w:rsidP="009411AF"/>
    <w:p w14:paraId="671191D9" w14:textId="77777777" w:rsidR="009411AF" w:rsidRDefault="009411AF" w:rsidP="009411AF">
      <w:pPr>
        <w:pStyle w:val="Heading2"/>
        <w:rPr>
          <w:rFonts w:eastAsia="Times New Roman"/>
        </w:rPr>
      </w:pPr>
      <w:r>
        <w:rPr>
          <w:rFonts w:eastAsia="Times New Roman"/>
        </w:rPr>
        <w:t xml:space="preserve">The number of shoplifting offences that led to an </w:t>
      </w:r>
      <w:proofErr w:type="gramStart"/>
      <w:r>
        <w:rPr>
          <w:rFonts w:eastAsia="Times New Roman"/>
        </w:rPr>
        <w:t>arrest</w:t>
      </w:r>
      <w:proofErr w:type="gramEnd"/>
    </w:p>
    <w:p w14:paraId="5CB6045A" w14:textId="77777777" w:rsidR="00DB4311" w:rsidRDefault="00DB4311" w:rsidP="00DB4311">
      <w:r>
        <w:t>T</w:t>
      </w:r>
      <w:r w:rsidRPr="00A732CA">
        <w:t>he Criminal Justice (Scotland) Act 2016 removed the separate concepts of arrest</w:t>
      </w:r>
      <w:r>
        <w:t xml:space="preserve"> and detention and replaced them with a power of arrest without warrant - where there are reasonable grounds for suspecting a person has committed, or is committing, an offence. </w:t>
      </w:r>
    </w:p>
    <w:p w14:paraId="4DD1C789" w14:textId="77777777" w:rsidR="00DB4311" w:rsidRDefault="00DB4311" w:rsidP="00DB4311">
      <w:r>
        <w:t xml:space="preserve">When a person is arrested, a statement of arrest should be read over as soon as reasonably practicable, and details recorded in the arresting officer’s notebook.  </w:t>
      </w:r>
    </w:p>
    <w:p w14:paraId="03E0C09E" w14:textId="77777777" w:rsidR="00DB4311" w:rsidRDefault="00DB4311" w:rsidP="00DB4311">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14:paraId="604A2BD0" w14:textId="77777777" w:rsidR="00DB4311" w:rsidRPr="00A732CA" w:rsidRDefault="00DB4311" w:rsidP="00DB4311">
      <w:r w:rsidRPr="00A732CA">
        <w:t xml:space="preserve">If conveyed to a police station, the arrested person will have their details recorded in </w:t>
      </w:r>
      <w:r>
        <w:t>our</w:t>
      </w:r>
      <w:r w:rsidRPr="00A732CA">
        <w:t xml:space="preserve"> National Custody System.  </w:t>
      </w:r>
    </w:p>
    <w:p w14:paraId="187FB02B" w14:textId="77777777" w:rsidR="00DB4311" w:rsidRPr="00A732CA" w:rsidRDefault="00DB4311" w:rsidP="00DB4311">
      <w:r w:rsidRPr="00A732CA">
        <w:t>The</w:t>
      </w:r>
      <w:r>
        <w:t xml:space="preserve">re are </w:t>
      </w:r>
      <w:r w:rsidRPr="00A732CA">
        <w:t xml:space="preserve">situations </w:t>
      </w:r>
      <w:r>
        <w:t xml:space="preserve">however </w:t>
      </w:r>
      <w:r w:rsidRPr="00A732CA">
        <w:t>whereby a person must be released from police custody prior to their arrival at a police station - effectively</w:t>
      </w:r>
      <w:r>
        <w:t xml:space="preserve"> they are</w:t>
      </w:r>
      <w:r w:rsidRPr="00A732CA">
        <w:t xml:space="preserve"> ‘de-arrest</w:t>
      </w:r>
      <w:r>
        <w:t>ed</w:t>
      </w:r>
      <w:r w:rsidRPr="00A732CA">
        <w:t xml:space="preserve">’ </w:t>
      </w:r>
      <w:r>
        <w:t xml:space="preserve">- </w:t>
      </w:r>
      <w:r w:rsidRPr="00A732CA">
        <w:t xml:space="preserve">where the reasonable grounds for suspicion no longer exist. </w:t>
      </w:r>
      <w:r>
        <w:t xml:space="preserve"> </w:t>
      </w:r>
      <w:r w:rsidRPr="00A732CA">
        <w:t xml:space="preserve">In those circumstances, the details of an arrested person are not held electronically. </w:t>
      </w:r>
    </w:p>
    <w:p w14:paraId="759620C8" w14:textId="77777777" w:rsidR="00DB4311" w:rsidRPr="00A732CA" w:rsidRDefault="00DB4311" w:rsidP="00DB4311">
      <w:pPr>
        <w:rPr>
          <w:b/>
        </w:rPr>
      </w:pPr>
      <w:r w:rsidRPr="00A732CA">
        <w:t>As a result, we are unfortunately unable to collate comprehensive</w:t>
      </w:r>
      <w:r w:rsidRPr="00A732CA">
        <w:rPr>
          <w:b/>
        </w:rPr>
        <w:t xml:space="preserve"> </w:t>
      </w:r>
      <w:r w:rsidRPr="00A732CA">
        <w:t>arrest data</w:t>
      </w:r>
      <w:r>
        <w:t>,</w:t>
      </w:r>
      <w:r w:rsidRPr="00A732CA">
        <w:t xml:space="preserve"> as case by case assessment of all officer notebooks would be required - in addition to the partial</w:t>
      </w:r>
      <w:r w:rsidRPr="00A732CA">
        <w:rPr>
          <w:b/>
        </w:rPr>
        <w:t xml:space="preserve"> </w:t>
      </w:r>
      <w:r w:rsidRPr="00A732CA">
        <w:t>arrest data held in the National Custody System</w:t>
      </w:r>
      <w:r w:rsidRPr="00F76704">
        <w:t>.</w:t>
      </w:r>
    </w:p>
    <w:p w14:paraId="1B749D95" w14:textId="77777777" w:rsidR="00DB4311" w:rsidRPr="00453F0A" w:rsidRDefault="00DB4311" w:rsidP="00DB4311">
      <w:r>
        <w:t>Unfortunately,</w:t>
      </w:r>
      <w:r w:rsidRPr="00453F0A">
        <w:t xml:space="preserve"> I estimate that it would cost well </w:t>
      </w:r>
      <w:proofErr w:type="gramStart"/>
      <w:r w:rsidRPr="00453F0A">
        <w:t>in excess</w:t>
      </w:r>
      <w:r>
        <w:t xml:space="preserve"> of</w:t>
      </w:r>
      <w:proofErr w:type="gramEnd"/>
      <w:r w:rsidRPr="00453F0A">
        <w:t xml:space="preserve"> </w:t>
      </w:r>
      <w:r>
        <w:t>t</w:t>
      </w:r>
      <w:r w:rsidRPr="00453F0A">
        <w:t xml:space="preserve">he </w:t>
      </w:r>
      <w:r w:rsidRPr="00982D19">
        <w:t>current FOI cost threshold</w:t>
      </w:r>
      <w:r>
        <w:t xml:space="preserve"> of </w:t>
      </w:r>
      <w:r w:rsidRPr="00453F0A">
        <w:t>£600</w:t>
      </w:r>
      <w:r>
        <w:t xml:space="preserve"> to process your request and I am therefore refusing to provide the information sought in terms of s</w:t>
      </w:r>
      <w:r w:rsidRPr="00453F0A">
        <w:t xml:space="preserve">ection 12(1) </w:t>
      </w:r>
      <w:r>
        <w:t xml:space="preserve">- </w:t>
      </w:r>
      <w:r w:rsidRPr="00453F0A">
        <w:t>Excessive Cost of Compliance.</w:t>
      </w:r>
    </w:p>
    <w:p w14:paraId="63CE1998" w14:textId="77777777" w:rsidR="00DB4311" w:rsidRPr="000D1CC5" w:rsidRDefault="00DB4311" w:rsidP="00DB4311">
      <w:r>
        <w:t xml:space="preserve">If you would be interested in data regarding only those individuals arrested </w:t>
      </w:r>
      <w:r>
        <w:rPr>
          <w:i/>
          <w:iCs/>
        </w:rPr>
        <w:t xml:space="preserve">and brought into police custody, </w:t>
      </w:r>
      <w:r>
        <w:t xml:space="preserve">we may be able to provide some data.  </w:t>
      </w:r>
    </w:p>
    <w:p w14:paraId="74B8CC75" w14:textId="77777777" w:rsidR="00DB4311" w:rsidRDefault="00DB4311" w:rsidP="00DB4311">
      <w:r>
        <w:t>For the reasons outlined above, Police Scotland do not routinely or otherwise collate data on ‘</w:t>
      </w:r>
      <w:proofErr w:type="gramStart"/>
      <w:r>
        <w:t>arrests’</w:t>
      </w:r>
      <w:proofErr w:type="gramEnd"/>
      <w:r>
        <w:t>.</w:t>
      </w:r>
    </w:p>
    <w:p w14:paraId="7088A873" w14:textId="77777777" w:rsidR="00DB4311" w:rsidRDefault="00DB4311" w:rsidP="00DB4311">
      <w:r>
        <w:t xml:space="preserve">Instead, data is compiled and published based on recorded and detected crimes - </w:t>
      </w:r>
      <w:hyperlink r:id="rId11" w:history="1">
        <w:r>
          <w:rPr>
            <w:rStyle w:val="Hyperlink"/>
          </w:rPr>
          <w:t>Crime data - Police Scotland</w:t>
        </w:r>
      </w:hyperlink>
      <w:r>
        <w:t>.</w:t>
      </w:r>
    </w:p>
    <w:p w14:paraId="28152260" w14:textId="7DCA256F" w:rsidR="009411AF" w:rsidRDefault="009411AF" w:rsidP="009411AF">
      <w:pPr>
        <w:pStyle w:val="Heading2"/>
        <w:rPr>
          <w:rFonts w:eastAsia="Times New Roman"/>
        </w:rPr>
      </w:pPr>
      <w:r>
        <w:rPr>
          <w:rFonts w:eastAsia="Times New Roman"/>
        </w:rPr>
        <w:lastRenderedPageBreak/>
        <w:t xml:space="preserve">The number of shoplifting offences that led to a charge or </w:t>
      </w:r>
      <w:proofErr w:type="gramStart"/>
      <w:r>
        <w:rPr>
          <w:rFonts w:eastAsia="Times New Roman"/>
        </w:rPr>
        <w:t>summons</w:t>
      </w:r>
      <w:proofErr w:type="gramEnd"/>
    </w:p>
    <w:p w14:paraId="4DD48FF8" w14:textId="77777777" w:rsidR="009411AF" w:rsidRDefault="009411AF" w:rsidP="009411AF">
      <w:pPr>
        <w:pStyle w:val="Heading2"/>
        <w:rPr>
          <w:rFonts w:eastAsia="Times New Roman"/>
        </w:rPr>
      </w:pPr>
      <w:r>
        <w:rPr>
          <w:rFonts w:eastAsia="Times New Roman"/>
        </w:rPr>
        <w:t xml:space="preserve">The number of shoplifting offences that led to no further action being </w:t>
      </w:r>
      <w:proofErr w:type="gramStart"/>
      <w:r>
        <w:rPr>
          <w:rFonts w:eastAsia="Times New Roman"/>
        </w:rPr>
        <w:t>taken</w:t>
      </w:r>
      <w:proofErr w:type="gramEnd"/>
    </w:p>
    <w:p w14:paraId="72F6B786" w14:textId="77777777" w:rsidR="00DB4311" w:rsidRPr="00B6549B" w:rsidRDefault="00DB4311" w:rsidP="00DB4311">
      <w:pPr>
        <w:tabs>
          <w:tab w:val="left" w:pos="5400"/>
        </w:tabs>
        <w:rPr>
          <w:rFonts w:eastAsiaTheme="majorEastAsia" w:cstheme="majorBidi"/>
          <w:bCs/>
          <w:color w:val="000000" w:themeColor="text1"/>
          <w:szCs w:val="26"/>
        </w:rPr>
      </w:pPr>
      <w:r>
        <w:t xml:space="preserve">Home Office outcome categories do not extend to Scotland </w:t>
      </w:r>
      <w:r>
        <w:rPr>
          <w:rFonts w:eastAsiaTheme="majorEastAsia" w:cstheme="majorBidi"/>
          <w:bCs/>
          <w:color w:val="000000" w:themeColor="text1"/>
          <w:szCs w:val="26"/>
        </w:rPr>
        <w:t>and section 17 of the Act therefore applies.</w:t>
      </w:r>
      <w:r w:rsidRPr="00B6549B">
        <w:rPr>
          <w:rFonts w:eastAsiaTheme="majorEastAsia" w:cstheme="majorBidi"/>
          <w:bCs/>
          <w:color w:val="000000" w:themeColor="text1"/>
          <w:szCs w:val="26"/>
        </w:rPr>
        <w:t xml:space="preserve"> </w:t>
      </w: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Police Scotland</w:t>
      </w:r>
      <w:r>
        <w:rPr>
          <w:rFonts w:eastAsiaTheme="majorEastAsia" w:cstheme="majorBidi"/>
          <w:bCs/>
          <w:color w:val="000000" w:themeColor="text1"/>
          <w:szCs w:val="26"/>
        </w:rPr>
        <w:t>.</w:t>
      </w:r>
      <w:r w:rsidRPr="00646E3D">
        <w:rPr>
          <w:rFonts w:eastAsiaTheme="majorEastAsia" w:cstheme="majorBidi"/>
          <w:bCs/>
          <w:color w:val="000000" w:themeColor="text1"/>
          <w:szCs w:val="26"/>
        </w:rPr>
        <w:t xml:space="preserve"> </w:t>
      </w:r>
    </w:p>
    <w:p w14:paraId="7DEB7E45" w14:textId="77777777" w:rsidR="00DB4311" w:rsidRDefault="00DB4311" w:rsidP="00DB4311">
      <w:r>
        <w:t xml:space="preserve">Crimes in Scotland are recorded in accordance with the </w:t>
      </w:r>
      <w:hyperlink r:id="rId12" w:history="1">
        <w:r w:rsidRPr="00307992">
          <w:rPr>
            <w:rStyle w:val="Hyperlink"/>
          </w:rPr>
          <w:t>Scottish Crime Recording Standard</w:t>
        </w:r>
      </w:hyperlink>
      <w:r>
        <w:t xml:space="preserve"> and crimes are reported as recorded or detected.  </w:t>
      </w:r>
    </w:p>
    <w:p w14:paraId="4E58212A" w14:textId="77777777" w:rsidR="00DB4311" w:rsidRDefault="00DB4311" w:rsidP="00DB4311">
      <w:r>
        <w:t>Detected crimes are those</w:t>
      </w:r>
      <w:r w:rsidRPr="007D1918">
        <w:t xml:space="preserve"> where an accused has been identified and there exists a sufficiency of evidence under Scots Law to justify consideration of criminal proceedings.</w:t>
      </w:r>
    </w:p>
    <w:p w14:paraId="25FD2B17" w14:textId="77777777" w:rsidR="00DB4311" w:rsidRDefault="00DB4311" w:rsidP="00DB4311">
      <w:r>
        <w:t xml:space="preserve">Corresponding data can be accessed online - </w:t>
      </w:r>
      <w:hyperlink r:id="rId13" w:history="1">
        <w:r>
          <w:rPr>
            <w:rStyle w:val="Hyperlink"/>
          </w:rPr>
          <w:t>Crime data - Police Scotland</w:t>
        </w:r>
      </w:hyperlink>
      <w:r>
        <w:t>.</w:t>
      </w:r>
    </w:p>
    <w:p w14:paraId="203D83D1" w14:textId="77777777" w:rsidR="00DB4311" w:rsidRPr="00DB4311" w:rsidRDefault="00DB4311" w:rsidP="00DB4311"/>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9458EF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789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14923B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789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82E166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789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8AB0E1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789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16E140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789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2AE5EB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789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A265A"/>
    <w:multiLevelType w:val="hybridMultilevel"/>
    <w:tmpl w:val="B4CC940A"/>
    <w:lvl w:ilvl="0" w:tplc="21BCA93A">
      <w:start w:val="1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751514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7D10"/>
    <w:rsid w:val="000E2F19"/>
    <w:rsid w:val="000E6526"/>
    <w:rsid w:val="00141533"/>
    <w:rsid w:val="00167528"/>
    <w:rsid w:val="00195CC4"/>
    <w:rsid w:val="00207326"/>
    <w:rsid w:val="00253DF6"/>
    <w:rsid w:val="00255F1E"/>
    <w:rsid w:val="00317C6C"/>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411AF"/>
    <w:rsid w:val="009631A4"/>
    <w:rsid w:val="00977296"/>
    <w:rsid w:val="00A25E93"/>
    <w:rsid w:val="00A320FF"/>
    <w:rsid w:val="00A433A4"/>
    <w:rsid w:val="00A70AC0"/>
    <w:rsid w:val="00A84EA9"/>
    <w:rsid w:val="00AC443C"/>
    <w:rsid w:val="00B11A55"/>
    <w:rsid w:val="00B17211"/>
    <w:rsid w:val="00B461B2"/>
    <w:rsid w:val="00B654B6"/>
    <w:rsid w:val="00B71B3C"/>
    <w:rsid w:val="00BC389E"/>
    <w:rsid w:val="00BC78CA"/>
    <w:rsid w:val="00BE1888"/>
    <w:rsid w:val="00BF6B81"/>
    <w:rsid w:val="00C077A8"/>
    <w:rsid w:val="00C14FF4"/>
    <w:rsid w:val="00C606A2"/>
    <w:rsid w:val="00C63872"/>
    <w:rsid w:val="00C84948"/>
    <w:rsid w:val="00CF1111"/>
    <w:rsid w:val="00D05706"/>
    <w:rsid w:val="00D27DC5"/>
    <w:rsid w:val="00D47E36"/>
    <w:rsid w:val="00DB4311"/>
    <w:rsid w:val="00E07892"/>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65211">
      <w:bodyDiv w:val="1"/>
      <w:marLeft w:val="0"/>
      <w:marRight w:val="0"/>
      <w:marTop w:val="0"/>
      <w:marBottom w:val="0"/>
      <w:divBdr>
        <w:top w:val="none" w:sz="0" w:space="0" w:color="auto"/>
        <w:left w:val="none" w:sz="0" w:space="0" w:color="auto"/>
        <w:bottom w:val="none" w:sz="0" w:space="0" w:color="auto"/>
        <w:right w:val="none" w:sz="0" w:space="0" w:color="auto"/>
      </w:divBdr>
    </w:div>
    <w:div w:id="640573690">
      <w:bodyDiv w:val="1"/>
      <w:marLeft w:val="0"/>
      <w:marRight w:val="0"/>
      <w:marTop w:val="0"/>
      <w:marBottom w:val="0"/>
      <w:divBdr>
        <w:top w:val="none" w:sz="0" w:space="0" w:color="auto"/>
        <w:left w:val="none" w:sz="0" w:space="0" w:color="auto"/>
        <w:bottom w:val="none" w:sz="0" w:space="0" w:color="auto"/>
        <w:right w:val="none" w:sz="0" w:space="0" w:color="auto"/>
      </w:divBdr>
    </w:div>
    <w:div w:id="96508481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about-us/how-we-do-it/crime-dat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scotland.police.uk/spa-media/p0nfjj2c/scottish-crime-recording-standard-crime-recording-and-counting-rules-april-2021.pdf?view=Standard"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itspublicknowledge.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spublicknowledge.info/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864</Words>
  <Characters>4931</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2024-05-27T13:53:00Z</dcterms:created>
  <dcterms:modified xsi:type="dcterms:W3CDTF">2024-05-27T13:54:00Z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