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BBE11" w14:textId="77777777" w:rsidR="00593CC4" w:rsidRPr="00184919" w:rsidRDefault="00184919" w:rsidP="00593CC4">
      <w:pPr>
        <w:rPr>
          <w:rFonts w:cs="Arial"/>
          <w:sz w:val="32"/>
          <w:szCs w:val="24"/>
        </w:rPr>
      </w:pPr>
      <w:r w:rsidRPr="00184919">
        <w:rPr>
          <w:noProof/>
          <w:sz w:val="134"/>
        </w:rPr>
        <w:drawing>
          <wp:anchor distT="0" distB="0" distL="114300" distR="114300" simplePos="0" relativeHeight="251658240" behindDoc="0" locked="0" layoutInCell="1" allowOverlap="1" wp14:anchorId="15041BA8" wp14:editId="63030553">
            <wp:simplePos x="904126" y="1068512"/>
            <wp:positionH relativeFrom="column">
              <wp:align>left</wp:align>
            </wp:positionH>
            <wp:positionV relativeFrom="paragraph">
              <wp:align>top</wp:align>
            </wp:positionV>
            <wp:extent cx="1235075" cy="2256155"/>
            <wp:effectExtent l="0" t="0" r="3175" b="0"/>
            <wp:wrapSquare wrapText="bothSides"/>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anchor>
        </w:drawing>
      </w:r>
      <w:r w:rsidRPr="00184919">
        <w:rPr>
          <w:rFonts w:cs="Arial"/>
          <w:sz w:val="32"/>
          <w:szCs w:val="24"/>
        </w:rPr>
        <w:br w:type="textWrapping" w:clear="all"/>
      </w:r>
    </w:p>
    <w:p w14:paraId="4A37886A" w14:textId="77777777" w:rsidR="00593CC4" w:rsidRPr="00F77618" w:rsidRDefault="00593CC4" w:rsidP="00593CC4">
      <w:pPr>
        <w:rPr>
          <w:rFonts w:cs="Arial"/>
          <w:sz w:val="2"/>
          <w:szCs w:val="24"/>
        </w:rPr>
      </w:pPr>
    </w:p>
    <w:p w14:paraId="4F791642" w14:textId="7E504AE7" w:rsidR="00593CC4" w:rsidRPr="00BE1F1A" w:rsidRDefault="00B21973" w:rsidP="00593CC4">
      <w:pPr>
        <w:pStyle w:val="Heading1"/>
        <w:spacing w:before="0" w:after="120"/>
      </w:pPr>
      <w:bookmarkStart w:id="0" w:name="_Toc203466118"/>
      <w:bookmarkStart w:id="1" w:name="_Toc204850178"/>
      <w:r>
        <w:t>Data Protection</w:t>
      </w:r>
      <w:bookmarkEnd w:id="0"/>
      <w:bookmarkEnd w:id="1"/>
    </w:p>
    <w:p w14:paraId="7357D450" w14:textId="7CDDE5A4" w:rsidR="00593CC4" w:rsidRDefault="00593CC4" w:rsidP="00593CC4">
      <w:pPr>
        <w:rPr>
          <w:rFonts w:eastAsia="Times New Roman" w:cs="Arial"/>
          <w:sz w:val="32"/>
          <w:szCs w:val="32"/>
        </w:rPr>
      </w:pPr>
      <w:r w:rsidRPr="00F77618">
        <w:rPr>
          <w:rFonts w:eastAsia="Times New Roman" w:cs="Arial"/>
          <w:sz w:val="32"/>
          <w:szCs w:val="32"/>
        </w:rPr>
        <w:t>Standard Operating Procedure</w:t>
      </w:r>
      <w:r w:rsidR="003D0EA3">
        <w:rPr>
          <w:rFonts w:eastAsia="Times New Roman" w:cs="Arial"/>
          <w:sz w:val="32"/>
          <w:szCs w:val="32"/>
        </w:rPr>
        <w:t xml:space="preserve"> (SOP)</w:t>
      </w:r>
    </w:p>
    <w:p w14:paraId="0B790850" w14:textId="0B88489C" w:rsidR="00593CC4" w:rsidRDefault="00593CC4" w:rsidP="00593CC4">
      <w:pPr>
        <w:rPr>
          <w:rFonts w:cs="Arial"/>
          <w:color w:val="000000"/>
          <w:szCs w:val="24"/>
        </w:rPr>
      </w:pPr>
      <w:r w:rsidRPr="00F77618">
        <w:rPr>
          <w:rFonts w:cs="Arial"/>
          <w:color w:val="000000"/>
          <w:szCs w:val="24"/>
        </w:rPr>
        <w:t>This SOP provides clear direction and procedural instruction to provide a consistency of response in accordance with force policy</w:t>
      </w:r>
      <w:r w:rsidR="003D0EA3">
        <w:rPr>
          <w:rFonts w:cs="Arial"/>
          <w:color w:val="000000"/>
          <w:szCs w:val="24"/>
        </w:rPr>
        <w:t>. I</w:t>
      </w:r>
      <w:r w:rsidRPr="00F77618">
        <w:rPr>
          <w:rFonts w:cs="Arial"/>
          <w:color w:val="000000"/>
          <w:szCs w:val="24"/>
        </w:rPr>
        <w:t xml:space="preserve">t is recognised that policing is a dynamic </w:t>
      </w:r>
      <w:proofErr w:type="gramStart"/>
      <w:r w:rsidRPr="00F77618">
        <w:rPr>
          <w:rFonts w:cs="Arial"/>
          <w:color w:val="000000"/>
          <w:szCs w:val="24"/>
        </w:rPr>
        <w:t>profession</w:t>
      </w:r>
      <w:proofErr w:type="gramEnd"/>
      <w:r w:rsidRPr="00F77618">
        <w:rPr>
          <w:rFonts w:cs="Arial"/>
          <w:color w:val="000000"/>
          <w:szCs w:val="24"/>
        </w:rPr>
        <w:t xml:space="preserve"> and the standard response may not be appropriate in every circumstance. In every situation, your decisions and actions should be supported by the National Decision Model and based on the values and ethics of Police Scotland. You may be expected to provide a clear and reasonable rationale for any decision or action which you take.</w:t>
      </w:r>
    </w:p>
    <w:p w14:paraId="3D40934B" w14:textId="77777777" w:rsidR="00D04B2E" w:rsidRPr="00CD369A" w:rsidRDefault="00D04B2E" w:rsidP="00D04B2E">
      <w:pPr>
        <w:pStyle w:val="Heading2"/>
        <w:rPr>
          <w:rFonts w:eastAsia="Calibri"/>
        </w:rPr>
      </w:pPr>
      <w:bookmarkStart w:id="2" w:name="_Toc203466119"/>
      <w:bookmarkStart w:id="3" w:name="_Toc204850179"/>
      <w:r w:rsidRPr="00CD369A">
        <w:rPr>
          <w:rFonts w:eastAsia="Calibri"/>
        </w:rPr>
        <w:t>Notice:</w:t>
      </w:r>
      <w:bookmarkEnd w:id="2"/>
      <w:bookmarkEnd w:id="3"/>
    </w:p>
    <w:p w14:paraId="715F80DB" w14:textId="77777777" w:rsidR="00D04B2E" w:rsidRPr="00CD369A" w:rsidRDefault="00D04B2E" w:rsidP="00D04B2E">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77DF3EE0" w14:textId="77777777" w:rsidR="00593CC4" w:rsidRDefault="00593CC4" w:rsidP="00593CC4">
      <w:pPr>
        <w:rPr>
          <w:rFonts w:cs="Arial"/>
          <w:color w:val="000000"/>
          <w:szCs w:val="24"/>
        </w:rPr>
      </w:pPr>
    </w:p>
    <w:p w14:paraId="4A7C182D" w14:textId="579213BE" w:rsidR="00593CC4" w:rsidRDefault="00593CC4" w:rsidP="00593CC4">
      <w:pPr>
        <w:rPr>
          <w:rFonts w:cs="Arial"/>
          <w:color w:val="000000"/>
          <w:szCs w:val="24"/>
        </w:rPr>
      </w:pPr>
      <w:r>
        <w:rPr>
          <w:rFonts w:cs="Arial"/>
          <w:color w:val="000000"/>
          <w:szCs w:val="24"/>
        </w:rPr>
        <w:t xml:space="preserve">Owning Department: </w:t>
      </w:r>
      <w:r w:rsidR="00B21973">
        <w:rPr>
          <w:rFonts w:cs="Arial"/>
          <w:color w:val="000000"/>
          <w:szCs w:val="24"/>
        </w:rPr>
        <w:t xml:space="preserve">Chief Data Office / Information Assurance </w:t>
      </w:r>
    </w:p>
    <w:p w14:paraId="15B8597B" w14:textId="07C4D048" w:rsidR="00593CC4" w:rsidRDefault="00593CC4" w:rsidP="00593CC4">
      <w:pPr>
        <w:rPr>
          <w:rFonts w:cs="Arial"/>
          <w:color w:val="000000"/>
          <w:szCs w:val="24"/>
        </w:rPr>
      </w:pPr>
      <w:r>
        <w:rPr>
          <w:rFonts w:cs="Arial"/>
          <w:color w:val="000000"/>
          <w:szCs w:val="24"/>
        </w:rPr>
        <w:t xml:space="preserve">Version Number: </w:t>
      </w:r>
      <w:r w:rsidR="00B21973">
        <w:rPr>
          <w:rFonts w:cs="Arial"/>
          <w:color w:val="000000"/>
          <w:szCs w:val="24"/>
        </w:rPr>
        <w:t>V10.00</w:t>
      </w:r>
    </w:p>
    <w:p w14:paraId="0EBF826D" w14:textId="23D113C9" w:rsidR="00052D8F" w:rsidRPr="00CC2609" w:rsidRDefault="00593CC4" w:rsidP="00CC2609">
      <w:pPr>
        <w:rPr>
          <w:rFonts w:cs="Arial"/>
          <w:color w:val="000000"/>
          <w:szCs w:val="24"/>
        </w:rPr>
      </w:pPr>
      <w:r>
        <w:rPr>
          <w:rFonts w:cs="Arial"/>
          <w:color w:val="000000"/>
          <w:szCs w:val="24"/>
        </w:rPr>
        <w:t xml:space="preserve">Date Published: </w:t>
      </w:r>
      <w:r w:rsidR="00B21973">
        <w:rPr>
          <w:rFonts w:cs="Arial"/>
          <w:color w:val="000000"/>
          <w:szCs w:val="24"/>
        </w:rPr>
        <w:t>19/02/2025</w:t>
      </w:r>
    </w:p>
    <w:sdt>
      <w:sdtPr>
        <w:rPr>
          <w:rFonts w:eastAsia="Calibri"/>
          <w:b w:val="0"/>
          <w:color w:val="auto"/>
          <w:sz w:val="24"/>
          <w:szCs w:val="22"/>
          <w:lang w:val="en-GB" w:eastAsia="en-GB"/>
        </w:rPr>
        <w:id w:val="942815197"/>
        <w:docPartObj>
          <w:docPartGallery w:val="Table of Contents"/>
          <w:docPartUnique/>
        </w:docPartObj>
      </w:sdtPr>
      <w:sdtEndPr>
        <w:rPr>
          <w:bCs/>
        </w:rPr>
      </w:sdtEndPr>
      <w:sdtContent>
        <w:p w14:paraId="63FB3AAE" w14:textId="7C6B6AAB" w:rsidR="00052D8F" w:rsidRDefault="00052D8F">
          <w:pPr>
            <w:pStyle w:val="TOCHeading"/>
          </w:pPr>
          <w:r>
            <w:rPr>
              <w:lang w:val="en-GB"/>
            </w:rPr>
            <w:t>Contents</w:t>
          </w:r>
        </w:p>
        <w:p w14:paraId="666C3C9B" w14:textId="41DBA5E7" w:rsidR="00CC2609" w:rsidRDefault="00052D8F">
          <w:pPr>
            <w:pStyle w:val="TOC1"/>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204850178" w:history="1">
            <w:r w:rsidR="00CC2609" w:rsidRPr="00D11FFE">
              <w:rPr>
                <w:rStyle w:val="Hyperlink"/>
                <w:noProof/>
              </w:rPr>
              <w:t>Data Protection</w:t>
            </w:r>
            <w:r w:rsidR="00CC2609">
              <w:rPr>
                <w:noProof/>
                <w:webHidden/>
              </w:rPr>
              <w:tab/>
            </w:r>
            <w:r w:rsidR="00CC2609">
              <w:rPr>
                <w:noProof/>
                <w:webHidden/>
              </w:rPr>
              <w:fldChar w:fldCharType="begin"/>
            </w:r>
            <w:r w:rsidR="00CC2609">
              <w:rPr>
                <w:noProof/>
                <w:webHidden/>
              </w:rPr>
              <w:instrText xml:space="preserve"> PAGEREF _Toc204850178 \h </w:instrText>
            </w:r>
            <w:r w:rsidR="00CC2609">
              <w:rPr>
                <w:noProof/>
                <w:webHidden/>
              </w:rPr>
            </w:r>
            <w:r w:rsidR="00CC2609">
              <w:rPr>
                <w:noProof/>
                <w:webHidden/>
              </w:rPr>
              <w:fldChar w:fldCharType="separate"/>
            </w:r>
            <w:r w:rsidR="00CC2609">
              <w:rPr>
                <w:noProof/>
                <w:webHidden/>
              </w:rPr>
              <w:t>1</w:t>
            </w:r>
            <w:r w:rsidR="00CC2609">
              <w:rPr>
                <w:noProof/>
                <w:webHidden/>
              </w:rPr>
              <w:fldChar w:fldCharType="end"/>
            </w:r>
          </w:hyperlink>
        </w:p>
        <w:p w14:paraId="615E0157" w14:textId="7FCDB25A"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179" w:history="1">
            <w:r w:rsidRPr="00D11FFE">
              <w:rPr>
                <w:rStyle w:val="Hyperlink"/>
                <w:noProof/>
              </w:rPr>
              <w:t>Notice:</w:t>
            </w:r>
            <w:r>
              <w:rPr>
                <w:noProof/>
                <w:webHidden/>
              </w:rPr>
              <w:tab/>
            </w:r>
            <w:r>
              <w:rPr>
                <w:noProof/>
                <w:webHidden/>
              </w:rPr>
              <w:fldChar w:fldCharType="begin"/>
            </w:r>
            <w:r>
              <w:rPr>
                <w:noProof/>
                <w:webHidden/>
              </w:rPr>
              <w:instrText xml:space="preserve"> PAGEREF _Toc204850179 \h </w:instrText>
            </w:r>
            <w:r>
              <w:rPr>
                <w:noProof/>
                <w:webHidden/>
              </w:rPr>
            </w:r>
            <w:r>
              <w:rPr>
                <w:noProof/>
                <w:webHidden/>
              </w:rPr>
              <w:fldChar w:fldCharType="separate"/>
            </w:r>
            <w:r>
              <w:rPr>
                <w:noProof/>
                <w:webHidden/>
              </w:rPr>
              <w:t>1</w:t>
            </w:r>
            <w:r>
              <w:rPr>
                <w:noProof/>
                <w:webHidden/>
              </w:rPr>
              <w:fldChar w:fldCharType="end"/>
            </w:r>
          </w:hyperlink>
        </w:p>
        <w:p w14:paraId="6E664A2F" w14:textId="65F5CDBB"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180" w:history="1">
            <w:r w:rsidRPr="00D11FFE">
              <w:rPr>
                <w:rStyle w:val="Hyperlink"/>
                <w:noProof/>
              </w:rPr>
              <w:t>1. Introduction/purpose</w:t>
            </w:r>
            <w:r>
              <w:rPr>
                <w:noProof/>
                <w:webHidden/>
              </w:rPr>
              <w:tab/>
            </w:r>
            <w:r>
              <w:rPr>
                <w:noProof/>
                <w:webHidden/>
              </w:rPr>
              <w:fldChar w:fldCharType="begin"/>
            </w:r>
            <w:r>
              <w:rPr>
                <w:noProof/>
                <w:webHidden/>
              </w:rPr>
              <w:instrText xml:space="preserve"> PAGEREF _Toc204850180 \h </w:instrText>
            </w:r>
            <w:r>
              <w:rPr>
                <w:noProof/>
                <w:webHidden/>
              </w:rPr>
            </w:r>
            <w:r>
              <w:rPr>
                <w:noProof/>
                <w:webHidden/>
              </w:rPr>
              <w:fldChar w:fldCharType="separate"/>
            </w:r>
            <w:r>
              <w:rPr>
                <w:noProof/>
                <w:webHidden/>
              </w:rPr>
              <w:t>4</w:t>
            </w:r>
            <w:r>
              <w:rPr>
                <w:noProof/>
                <w:webHidden/>
              </w:rPr>
              <w:fldChar w:fldCharType="end"/>
            </w:r>
          </w:hyperlink>
        </w:p>
        <w:p w14:paraId="6538D646" w14:textId="04B946FE"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181" w:history="1">
            <w:r w:rsidRPr="00D11FFE">
              <w:rPr>
                <w:rStyle w:val="Hyperlink"/>
                <w:noProof/>
              </w:rPr>
              <w:t>2. Training in Data Protection</w:t>
            </w:r>
            <w:r>
              <w:rPr>
                <w:noProof/>
                <w:webHidden/>
              </w:rPr>
              <w:tab/>
            </w:r>
            <w:r>
              <w:rPr>
                <w:noProof/>
                <w:webHidden/>
              </w:rPr>
              <w:fldChar w:fldCharType="begin"/>
            </w:r>
            <w:r>
              <w:rPr>
                <w:noProof/>
                <w:webHidden/>
              </w:rPr>
              <w:instrText xml:space="preserve"> PAGEREF _Toc204850181 \h </w:instrText>
            </w:r>
            <w:r>
              <w:rPr>
                <w:noProof/>
                <w:webHidden/>
              </w:rPr>
            </w:r>
            <w:r>
              <w:rPr>
                <w:noProof/>
                <w:webHidden/>
              </w:rPr>
              <w:fldChar w:fldCharType="separate"/>
            </w:r>
            <w:r>
              <w:rPr>
                <w:noProof/>
                <w:webHidden/>
              </w:rPr>
              <w:t>4</w:t>
            </w:r>
            <w:r>
              <w:rPr>
                <w:noProof/>
                <w:webHidden/>
              </w:rPr>
              <w:fldChar w:fldCharType="end"/>
            </w:r>
          </w:hyperlink>
        </w:p>
        <w:p w14:paraId="5081162B" w14:textId="3CD50E61"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182" w:history="1">
            <w:r w:rsidRPr="00D11FFE">
              <w:rPr>
                <w:rStyle w:val="Hyperlink"/>
                <w:noProof/>
              </w:rPr>
              <w:t>3. Data Protection Legislation</w:t>
            </w:r>
            <w:r>
              <w:rPr>
                <w:noProof/>
                <w:webHidden/>
              </w:rPr>
              <w:tab/>
            </w:r>
            <w:r>
              <w:rPr>
                <w:noProof/>
                <w:webHidden/>
              </w:rPr>
              <w:fldChar w:fldCharType="begin"/>
            </w:r>
            <w:r>
              <w:rPr>
                <w:noProof/>
                <w:webHidden/>
              </w:rPr>
              <w:instrText xml:space="preserve"> PAGEREF _Toc204850182 \h </w:instrText>
            </w:r>
            <w:r>
              <w:rPr>
                <w:noProof/>
                <w:webHidden/>
              </w:rPr>
            </w:r>
            <w:r>
              <w:rPr>
                <w:noProof/>
                <w:webHidden/>
              </w:rPr>
              <w:fldChar w:fldCharType="separate"/>
            </w:r>
            <w:r>
              <w:rPr>
                <w:noProof/>
                <w:webHidden/>
              </w:rPr>
              <w:t>5</w:t>
            </w:r>
            <w:r>
              <w:rPr>
                <w:noProof/>
                <w:webHidden/>
              </w:rPr>
              <w:fldChar w:fldCharType="end"/>
            </w:r>
          </w:hyperlink>
        </w:p>
        <w:p w14:paraId="033C4831" w14:textId="06D114BE"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183" w:history="1">
            <w:r w:rsidRPr="00D11FFE">
              <w:rPr>
                <w:rStyle w:val="Hyperlink"/>
                <w:noProof/>
              </w:rPr>
              <w:t>4. Definitions under Data Protection Legislation</w:t>
            </w:r>
            <w:r>
              <w:rPr>
                <w:noProof/>
                <w:webHidden/>
              </w:rPr>
              <w:tab/>
            </w:r>
            <w:r>
              <w:rPr>
                <w:noProof/>
                <w:webHidden/>
              </w:rPr>
              <w:fldChar w:fldCharType="begin"/>
            </w:r>
            <w:r>
              <w:rPr>
                <w:noProof/>
                <w:webHidden/>
              </w:rPr>
              <w:instrText xml:space="preserve"> PAGEREF _Toc204850183 \h </w:instrText>
            </w:r>
            <w:r>
              <w:rPr>
                <w:noProof/>
                <w:webHidden/>
              </w:rPr>
            </w:r>
            <w:r>
              <w:rPr>
                <w:noProof/>
                <w:webHidden/>
              </w:rPr>
              <w:fldChar w:fldCharType="separate"/>
            </w:r>
            <w:r>
              <w:rPr>
                <w:noProof/>
                <w:webHidden/>
              </w:rPr>
              <w:t>6</w:t>
            </w:r>
            <w:r>
              <w:rPr>
                <w:noProof/>
                <w:webHidden/>
              </w:rPr>
              <w:fldChar w:fldCharType="end"/>
            </w:r>
          </w:hyperlink>
        </w:p>
        <w:p w14:paraId="3AAA27BD" w14:textId="35D1E3F6"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184" w:history="1">
            <w:r w:rsidRPr="00D11FFE">
              <w:rPr>
                <w:rStyle w:val="Hyperlink"/>
                <w:noProof/>
              </w:rPr>
              <w:t>5. Compliance with the Data Protection Principles</w:t>
            </w:r>
            <w:r>
              <w:rPr>
                <w:noProof/>
                <w:webHidden/>
              </w:rPr>
              <w:tab/>
            </w:r>
            <w:r>
              <w:rPr>
                <w:noProof/>
                <w:webHidden/>
              </w:rPr>
              <w:fldChar w:fldCharType="begin"/>
            </w:r>
            <w:r>
              <w:rPr>
                <w:noProof/>
                <w:webHidden/>
              </w:rPr>
              <w:instrText xml:space="preserve"> PAGEREF _Toc204850184 \h </w:instrText>
            </w:r>
            <w:r>
              <w:rPr>
                <w:noProof/>
                <w:webHidden/>
              </w:rPr>
            </w:r>
            <w:r>
              <w:rPr>
                <w:noProof/>
                <w:webHidden/>
              </w:rPr>
              <w:fldChar w:fldCharType="separate"/>
            </w:r>
            <w:r>
              <w:rPr>
                <w:noProof/>
                <w:webHidden/>
              </w:rPr>
              <w:t>7</w:t>
            </w:r>
            <w:r>
              <w:rPr>
                <w:noProof/>
                <w:webHidden/>
              </w:rPr>
              <w:fldChar w:fldCharType="end"/>
            </w:r>
          </w:hyperlink>
        </w:p>
        <w:p w14:paraId="2CC35063" w14:textId="6D607F13" w:rsidR="00CC2609" w:rsidRDefault="00CC2609">
          <w:pPr>
            <w:pStyle w:val="TOC3"/>
            <w:tabs>
              <w:tab w:val="right" w:leader="dot" w:pos="9038"/>
            </w:tabs>
            <w:rPr>
              <w:rFonts w:asciiTheme="minorHAnsi" w:eastAsiaTheme="minorEastAsia" w:hAnsiTheme="minorHAnsi" w:cstheme="minorBidi"/>
              <w:noProof/>
              <w:kern w:val="2"/>
              <w:szCs w:val="24"/>
              <w14:ligatures w14:val="standardContextual"/>
            </w:rPr>
          </w:pPr>
          <w:hyperlink w:anchor="_Toc204850185" w:history="1">
            <w:r w:rsidRPr="00D11FFE">
              <w:rPr>
                <w:rStyle w:val="Hyperlink"/>
                <w:noProof/>
              </w:rPr>
              <w:t>Data Minimisation</w:t>
            </w:r>
            <w:r>
              <w:rPr>
                <w:noProof/>
                <w:webHidden/>
              </w:rPr>
              <w:tab/>
            </w:r>
            <w:r>
              <w:rPr>
                <w:noProof/>
                <w:webHidden/>
              </w:rPr>
              <w:fldChar w:fldCharType="begin"/>
            </w:r>
            <w:r>
              <w:rPr>
                <w:noProof/>
                <w:webHidden/>
              </w:rPr>
              <w:instrText xml:space="preserve"> PAGEREF _Toc204850185 \h </w:instrText>
            </w:r>
            <w:r>
              <w:rPr>
                <w:noProof/>
                <w:webHidden/>
              </w:rPr>
            </w:r>
            <w:r>
              <w:rPr>
                <w:noProof/>
                <w:webHidden/>
              </w:rPr>
              <w:fldChar w:fldCharType="separate"/>
            </w:r>
            <w:r>
              <w:rPr>
                <w:noProof/>
                <w:webHidden/>
              </w:rPr>
              <w:t>8</w:t>
            </w:r>
            <w:r>
              <w:rPr>
                <w:noProof/>
                <w:webHidden/>
              </w:rPr>
              <w:fldChar w:fldCharType="end"/>
            </w:r>
          </w:hyperlink>
        </w:p>
        <w:p w14:paraId="5BEF9E76" w14:textId="27B51EF9"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186" w:history="1">
            <w:r w:rsidRPr="00D11FFE">
              <w:rPr>
                <w:rStyle w:val="Hyperlink"/>
                <w:noProof/>
              </w:rPr>
              <w:t>6. Lawfulness of Processing – GDPR Articles 6 and 9</w:t>
            </w:r>
            <w:r>
              <w:rPr>
                <w:noProof/>
                <w:webHidden/>
              </w:rPr>
              <w:tab/>
            </w:r>
            <w:r>
              <w:rPr>
                <w:noProof/>
                <w:webHidden/>
              </w:rPr>
              <w:fldChar w:fldCharType="begin"/>
            </w:r>
            <w:r>
              <w:rPr>
                <w:noProof/>
                <w:webHidden/>
              </w:rPr>
              <w:instrText xml:space="preserve"> PAGEREF _Toc204850186 \h </w:instrText>
            </w:r>
            <w:r>
              <w:rPr>
                <w:noProof/>
                <w:webHidden/>
              </w:rPr>
            </w:r>
            <w:r>
              <w:rPr>
                <w:noProof/>
                <w:webHidden/>
              </w:rPr>
              <w:fldChar w:fldCharType="separate"/>
            </w:r>
            <w:r>
              <w:rPr>
                <w:noProof/>
                <w:webHidden/>
              </w:rPr>
              <w:t>9</w:t>
            </w:r>
            <w:r>
              <w:rPr>
                <w:noProof/>
                <w:webHidden/>
              </w:rPr>
              <w:fldChar w:fldCharType="end"/>
            </w:r>
          </w:hyperlink>
        </w:p>
        <w:p w14:paraId="129EED10" w14:textId="2F986274" w:rsidR="00CC2609" w:rsidRDefault="00CC2609">
          <w:pPr>
            <w:pStyle w:val="TOC3"/>
            <w:tabs>
              <w:tab w:val="right" w:leader="dot" w:pos="9038"/>
            </w:tabs>
            <w:rPr>
              <w:rFonts w:asciiTheme="minorHAnsi" w:eastAsiaTheme="minorEastAsia" w:hAnsiTheme="minorHAnsi" w:cstheme="minorBidi"/>
              <w:noProof/>
              <w:kern w:val="2"/>
              <w:szCs w:val="24"/>
              <w14:ligatures w14:val="standardContextual"/>
            </w:rPr>
          </w:pPr>
          <w:hyperlink w:anchor="_Toc204850187" w:history="1">
            <w:r w:rsidRPr="00D11FFE">
              <w:rPr>
                <w:rStyle w:val="Hyperlink"/>
                <w:noProof/>
              </w:rPr>
              <w:t>Special category data and criminal convictions data</w:t>
            </w:r>
            <w:r>
              <w:rPr>
                <w:noProof/>
                <w:webHidden/>
              </w:rPr>
              <w:tab/>
            </w:r>
            <w:r>
              <w:rPr>
                <w:noProof/>
                <w:webHidden/>
              </w:rPr>
              <w:fldChar w:fldCharType="begin"/>
            </w:r>
            <w:r>
              <w:rPr>
                <w:noProof/>
                <w:webHidden/>
              </w:rPr>
              <w:instrText xml:space="preserve"> PAGEREF _Toc204850187 \h </w:instrText>
            </w:r>
            <w:r>
              <w:rPr>
                <w:noProof/>
                <w:webHidden/>
              </w:rPr>
            </w:r>
            <w:r>
              <w:rPr>
                <w:noProof/>
                <w:webHidden/>
              </w:rPr>
              <w:fldChar w:fldCharType="separate"/>
            </w:r>
            <w:r>
              <w:rPr>
                <w:noProof/>
                <w:webHidden/>
              </w:rPr>
              <w:t>9</w:t>
            </w:r>
            <w:r>
              <w:rPr>
                <w:noProof/>
                <w:webHidden/>
              </w:rPr>
              <w:fldChar w:fldCharType="end"/>
            </w:r>
          </w:hyperlink>
        </w:p>
        <w:p w14:paraId="75F92A45" w14:textId="6DC6BD2C"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188" w:history="1">
            <w:r w:rsidRPr="00D11FFE">
              <w:rPr>
                <w:rStyle w:val="Hyperlink"/>
                <w:noProof/>
              </w:rPr>
              <w:t>7. Use of Consent for Processing – GDPR</w:t>
            </w:r>
            <w:r>
              <w:rPr>
                <w:noProof/>
                <w:webHidden/>
              </w:rPr>
              <w:tab/>
            </w:r>
            <w:r>
              <w:rPr>
                <w:noProof/>
                <w:webHidden/>
              </w:rPr>
              <w:fldChar w:fldCharType="begin"/>
            </w:r>
            <w:r>
              <w:rPr>
                <w:noProof/>
                <w:webHidden/>
              </w:rPr>
              <w:instrText xml:space="preserve"> PAGEREF _Toc204850188 \h </w:instrText>
            </w:r>
            <w:r>
              <w:rPr>
                <w:noProof/>
                <w:webHidden/>
              </w:rPr>
            </w:r>
            <w:r>
              <w:rPr>
                <w:noProof/>
                <w:webHidden/>
              </w:rPr>
              <w:fldChar w:fldCharType="separate"/>
            </w:r>
            <w:r>
              <w:rPr>
                <w:noProof/>
                <w:webHidden/>
              </w:rPr>
              <w:t>9</w:t>
            </w:r>
            <w:r>
              <w:rPr>
                <w:noProof/>
                <w:webHidden/>
              </w:rPr>
              <w:fldChar w:fldCharType="end"/>
            </w:r>
          </w:hyperlink>
        </w:p>
        <w:p w14:paraId="72D78064" w14:textId="47A33CC4"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189" w:history="1">
            <w:r w:rsidRPr="00D11FFE">
              <w:rPr>
                <w:rStyle w:val="Hyperlink"/>
                <w:noProof/>
              </w:rPr>
              <w:t>8. Lawfulness of Processing – Law Enforcement</w:t>
            </w:r>
            <w:r>
              <w:rPr>
                <w:noProof/>
                <w:webHidden/>
              </w:rPr>
              <w:tab/>
            </w:r>
            <w:r>
              <w:rPr>
                <w:noProof/>
                <w:webHidden/>
              </w:rPr>
              <w:fldChar w:fldCharType="begin"/>
            </w:r>
            <w:r>
              <w:rPr>
                <w:noProof/>
                <w:webHidden/>
              </w:rPr>
              <w:instrText xml:space="preserve"> PAGEREF _Toc204850189 \h </w:instrText>
            </w:r>
            <w:r>
              <w:rPr>
                <w:noProof/>
                <w:webHidden/>
              </w:rPr>
            </w:r>
            <w:r>
              <w:rPr>
                <w:noProof/>
                <w:webHidden/>
              </w:rPr>
              <w:fldChar w:fldCharType="separate"/>
            </w:r>
            <w:r>
              <w:rPr>
                <w:noProof/>
                <w:webHidden/>
              </w:rPr>
              <w:t>10</w:t>
            </w:r>
            <w:r>
              <w:rPr>
                <w:noProof/>
                <w:webHidden/>
              </w:rPr>
              <w:fldChar w:fldCharType="end"/>
            </w:r>
          </w:hyperlink>
        </w:p>
        <w:p w14:paraId="506568C0" w14:textId="46EC2AAA"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190" w:history="1">
            <w:r w:rsidRPr="00D11FFE">
              <w:rPr>
                <w:rStyle w:val="Hyperlink"/>
                <w:noProof/>
              </w:rPr>
              <w:t>8. Use of Consent for Processing – Law Enforcement</w:t>
            </w:r>
            <w:r>
              <w:rPr>
                <w:noProof/>
                <w:webHidden/>
              </w:rPr>
              <w:tab/>
            </w:r>
            <w:r>
              <w:rPr>
                <w:noProof/>
                <w:webHidden/>
              </w:rPr>
              <w:fldChar w:fldCharType="begin"/>
            </w:r>
            <w:r>
              <w:rPr>
                <w:noProof/>
                <w:webHidden/>
              </w:rPr>
              <w:instrText xml:space="preserve"> PAGEREF _Toc204850190 \h </w:instrText>
            </w:r>
            <w:r>
              <w:rPr>
                <w:noProof/>
                <w:webHidden/>
              </w:rPr>
            </w:r>
            <w:r>
              <w:rPr>
                <w:noProof/>
                <w:webHidden/>
              </w:rPr>
              <w:fldChar w:fldCharType="separate"/>
            </w:r>
            <w:r>
              <w:rPr>
                <w:noProof/>
                <w:webHidden/>
              </w:rPr>
              <w:t>11</w:t>
            </w:r>
            <w:r>
              <w:rPr>
                <w:noProof/>
                <w:webHidden/>
              </w:rPr>
              <w:fldChar w:fldCharType="end"/>
            </w:r>
          </w:hyperlink>
        </w:p>
        <w:p w14:paraId="5D70614B" w14:textId="09329BDC"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191" w:history="1">
            <w:r w:rsidRPr="00D11FFE">
              <w:rPr>
                <w:rStyle w:val="Hyperlink"/>
                <w:noProof/>
              </w:rPr>
              <w:t>10. Use of Law Enforcement Personal Data for a Non-Law Enforcement Purpose</w:t>
            </w:r>
            <w:r>
              <w:rPr>
                <w:noProof/>
                <w:webHidden/>
              </w:rPr>
              <w:tab/>
            </w:r>
            <w:r>
              <w:rPr>
                <w:noProof/>
                <w:webHidden/>
              </w:rPr>
              <w:fldChar w:fldCharType="begin"/>
            </w:r>
            <w:r>
              <w:rPr>
                <w:noProof/>
                <w:webHidden/>
              </w:rPr>
              <w:instrText xml:space="preserve"> PAGEREF _Toc204850191 \h </w:instrText>
            </w:r>
            <w:r>
              <w:rPr>
                <w:noProof/>
                <w:webHidden/>
              </w:rPr>
            </w:r>
            <w:r>
              <w:rPr>
                <w:noProof/>
                <w:webHidden/>
              </w:rPr>
              <w:fldChar w:fldCharType="separate"/>
            </w:r>
            <w:r>
              <w:rPr>
                <w:noProof/>
                <w:webHidden/>
              </w:rPr>
              <w:t>11</w:t>
            </w:r>
            <w:r>
              <w:rPr>
                <w:noProof/>
                <w:webHidden/>
              </w:rPr>
              <w:fldChar w:fldCharType="end"/>
            </w:r>
          </w:hyperlink>
        </w:p>
        <w:p w14:paraId="3B516864" w14:textId="7E2E567B"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192" w:history="1">
            <w:r w:rsidRPr="00D11FFE">
              <w:rPr>
                <w:rStyle w:val="Hyperlink"/>
                <w:noProof/>
              </w:rPr>
              <w:t>11. Privacy Notices</w:t>
            </w:r>
            <w:r>
              <w:rPr>
                <w:noProof/>
                <w:webHidden/>
              </w:rPr>
              <w:tab/>
            </w:r>
            <w:r>
              <w:rPr>
                <w:noProof/>
                <w:webHidden/>
              </w:rPr>
              <w:fldChar w:fldCharType="begin"/>
            </w:r>
            <w:r>
              <w:rPr>
                <w:noProof/>
                <w:webHidden/>
              </w:rPr>
              <w:instrText xml:space="preserve"> PAGEREF _Toc204850192 \h </w:instrText>
            </w:r>
            <w:r>
              <w:rPr>
                <w:noProof/>
                <w:webHidden/>
              </w:rPr>
            </w:r>
            <w:r>
              <w:rPr>
                <w:noProof/>
                <w:webHidden/>
              </w:rPr>
              <w:fldChar w:fldCharType="separate"/>
            </w:r>
            <w:r>
              <w:rPr>
                <w:noProof/>
                <w:webHidden/>
              </w:rPr>
              <w:t>12</w:t>
            </w:r>
            <w:r>
              <w:rPr>
                <w:noProof/>
                <w:webHidden/>
              </w:rPr>
              <w:fldChar w:fldCharType="end"/>
            </w:r>
          </w:hyperlink>
        </w:p>
        <w:p w14:paraId="3D1E9E9E" w14:textId="0F04724A"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193" w:history="1">
            <w:r w:rsidRPr="00D11FFE">
              <w:rPr>
                <w:rStyle w:val="Hyperlink"/>
                <w:noProof/>
              </w:rPr>
              <w:t>12. Rights of the Data Subjects</w:t>
            </w:r>
            <w:r>
              <w:rPr>
                <w:noProof/>
                <w:webHidden/>
              </w:rPr>
              <w:tab/>
            </w:r>
            <w:r>
              <w:rPr>
                <w:noProof/>
                <w:webHidden/>
              </w:rPr>
              <w:fldChar w:fldCharType="begin"/>
            </w:r>
            <w:r>
              <w:rPr>
                <w:noProof/>
                <w:webHidden/>
              </w:rPr>
              <w:instrText xml:space="preserve"> PAGEREF _Toc204850193 \h </w:instrText>
            </w:r>
            <w:r>
              <w:rPr>
                <w:noProof/>
                <w:webHidden/>
              </w:rPr>
            </w:r>
            <w:r>
              <w:rPr>
                <w:noProof/>
                <w:webHidden/>
              </w:rPr>
              <w:fldChar w:fldCharType="separate"/>
            </w:r>
            <w:r>
              <w:rPr>
                <w:noProof/>
                <w:webHidden/>
              </w:rPr>
              <w:t>13</w:t>
            </w:r>
            <w:r>
              <w:rPr>
                <w:noProof/>
                <w:webHidden/>
              </w:rPr>
              <w:fldChar w:fldCharType="end"/>
            </w:r>
          </w:hyperlink>
        </w:p>
        <w:p w14:paraId="5AB7E884" w14:textId="1A4BABA4" w:rsidR="00CC2609" w:rsidRDefault="00CC2609">
          <w:pPr>
            <w:pStyle w:val="TOC3"/>
            <w:tabs>
              <w:tab w:val="right" w:leader="dot" w:pos="9038"/>
            </w:tabs>
            <w:rPr>
              <w:rFonts w:asciiTheme="minorHAnsi" w:eastAsiaTheme="minorEastAsia" w:hAnsiTheme="minorHAnsi" w:cstheme="minorBidi"/>
              <w:noProof/>
              <w:kern w:val="2"/>
              <w:szCs w:val="24"/>
              <w14:ligatures w14:val="standardContextual"/>
            </w:rPr>
          </w:pPr>
          <w:hyperlink w:anchor="_Toc204850194" w:history="1">
            <w:r w:rsidRPr="00D11FFE">
              <w:rPr>
                <w:rStyle w:val="Hyperlink"/>
                <w:noProof/>
              </w:rPr>
              <w:t>Subject Access Requests (SAR)</w:t>
            </w:r>
            <w:r>
              <w:rPr>
                <w:noProof/>
                <w:webHidden/>
              </w:rPr>
              <w:tab/>
            </w:r>
            <w:r>
              <w:rPr>
                <w:noProof/>
                <w:webHidden/>
              </w:rPr>
              <w:fldChar w:fldCharType="begin"/>
            </w:r>
            <w:r>
              <w:rPr>
                <w:noProof/>
                <w:webHidden/>
              </w:rPr>
              <w:instrText xml:space="preserve"> PAGEREF _Toc204850194 \h </w:instrText>
            </w:r>
            <w:r>
              <w:rPr>
                <w:noProof/>
                <w:webHidden/>
              </w:rPr>
            </w:r>
            <w:r>
              <w:rPr>
                <w:noProof/>
                <w:webHidden/>
              </w:rPr>
              <w:fldChar w:fldCharType="separate"/>
            </w:r>
            <w:r>
              <w:rPr>
                <w:noProof/>
                <w:webHidden/>
              </w:rPr>
              <w:t>13</w:t>
            </w:r>
            <w:r>
              <w:rPr>
                <w:noProof/>
                <w:webHidden/>
              </w:rPr>
              <w:fldChar w:fldCharType="end"/>
            </w:r>
          </w:hyperlink>
        </w:p>
        <w:p w14:paraId="5C5FF6FA" w14:textId="1A24BDBB" w:rsidR="00CC2609" w:rsidRDefault="00CC2609">
          <w:pPr>
            <w:pStyle w:val="TOC3"/>
            <w:tabs>
              <w:tab w:val="right" w:leader="dot" w:pos="9038"/>
            </w:tabs>
            <w:rPr>
              <w:rFonts w:asciiTheme="minorHAnsi" w:eastAsiaTheme="minorEastAsia" w:hAnsiTheme="minorHAnsi" w:cstheme="minorBidi"/>
              <w:noProof/>
              <w:kern w:val="2"/>
              <w:szCs w:val="24"/>
              <w14:ligatures w14:val="standardContextual"/>
            </w:rPr>
          </w:pPr>
          <w:hyperlink w:anchor="_Toc204850195" w:history="1">
            <w:r w:rsidRPr="00D11FFE">
              <w:rPr>
                <w:rStyle w:val="Hyperlink"/>
                <w:noProof/>
              </w:rPr>
              <w:t>Dealing with receipt of a SAR</w:t>
            </w:r>
            <w:r>
              <w:rPr>
                <w:noProof/>
                <w:webHidden/>
              </w:rPr>
              <w:tab/>
            </w:r>
            <w:r>
              <w:rPr>
                <w:noProof/>
                <w:webHidden/>
              </w:rPr>
              <w:fldChar w:fldCharType="begin"/>
            </w:r>
            <w:r>
              <w:rPr>
                <w:noProof/>
                <w:webHidden/>
              </w:rPr>
              <w:instrText xml:space="preserve"> PAGEREF _Toc204850195 \h </w:instrText>
            </w:r>
            <w:r>
              <w:rPr>
                <w:noProof/>
                <w:webHidden/>
              </w:rPr>
            </w:r>
            <w:r>
              <w:rPr>
                <w:noProof/>
                <w:webHidden/>
              </w:rPr>
              <w:fldChar w:fldCharType="separate"/>
            </w:r>
            <w:r>
              <w:rPr>
                <w:noProof/>
                <w:webHidden/>
              </w:rPr>
              <w:t>14</w:t>
            </w:r>
            <w:r>
              <w:rPr>
                <w:noProof/>
                <w:webHidden/>
              </w:rPr>
              <w:fldChar w:fldCharType="end"/>
            </w:r>
          </w:hyperlink>
        </w:p>
        <w:p w14:paraId="6892CBA8" w14:textId="30D5A441" w:rsidR="00CC2609" w:rsidRDefault="00CC2609">
          <w:pPr>
            <w:pStyle w:val="TOC3"/>
            <w:tabs>
              <w:tab w:val="right" w:leader="dot" w:pos="9038"/>
            </w:tabs>
            <w:rPr>
              <w:rFonts w:asciiTheme="minorHAnsi" w:eastAsiaTheme="minorEastAsia" w:hAnsiTheme="minorHAnsi" w:cstheme="minorBidi"/>
              <w:noProof/>
              <w:kern w:val="2"/>
              <w:szCs w:val="24"/>
              <w14:ligatures w14:val="standardContextual"/>
            </w:rPr>
          </w:pPr>
          <w:hyperlink w:anchor="_Toc204850196" w:history="1">
            <w:r w:rsidRPr="00D11FFE">
              <w:rPr>
                <w:rStyle w:val="Hyperlink"/>
                <w:noProof/>
              </w:rPr>
              <w:t>Information required for visa purposes</w:t>
            </w:r>
            <w:r>
              <w:rPr>
                <w:noProof/>
                <w:webHidden/>
              </w:rPr>
              <w:tab/>
            </w:r>
            <w:r>
              <w:rPr>
                <w:noProof/>
                <w:webHidden/>
              </w:rPr>
              <w:fldChar w:fldCharType="begin"/>
            </w:r>
            <w:r>
              <w:rPr>
                <w:noProof/>
                <w:webHidden/>
              </w:rPr>
              <w:instrText xml:space="preserve"> PAGEREF _Toc204850196 \h </w:instrText>
            </w:r>
            <w:r>
              <w:rPr>
                <w:noProof/>
                <w:webHidden/>
              </w:rPr>
            </w:r>
            <w:r>
              <w:rPr>
                <w:noProof/>
                <w:webHidden/>
              </w:rPr>
              <w:fldChar w:fldCharType="separate"/>
            </w:r>
            <w:r>
              <w:rPr>
                <w:noProof/>
                <w:webHidden/>
              </w:rPr>
              <w:t>15</w:t>
            </w:r>
            <w:r>
              <w:rPr>
                <w:noProof/>
                <w:webHidden/>
              </w:rPr>
              <w:fldChar w:fldCharType="end"/>
            </w:r>
          </w:hyperlink>
        </w:p>
        <w:p w14:paraId="629BC904" w14:textId="3761576A" w:rsidR="00CC2609" w:rsidRDefault="00CC2609">
          <w:pPr>
            <w:pStyle w:val="TOC3"/>
            <w:tabs>
              <w:tab w:val="right" w:leader="dot" w:pos="9038"/>
            </w:tabs>
            <w:rPr>
              <w:rFonts w:asciiTheme="minorHAnsi" w:eastAsiaTheme="minorEastAsia" w:hAnsiTheme="minorHAnsi" w:cstheme="minorBidi"/>
              <w:noProof/>
              <w:kern w:val="2"/>
              <w:szCs w:val="24"/>
              <w14:ligatures w14:val="standardContextual"/>
            </w:rPr>
          </w:pPr>
          <w:hyperlink w:anchor="_Toc204850197" w:history="1">
            <w:r w:rsidRPr="00D11FFE">
              <w:rPr>
                <w:rStyle w:val="Hyperlink"/>
                <w:noProof/>
              </w:rPr>
              <w:t>Information required for employment purposes</w:t>
            </w:r>
            <w:r>
              <w:rPr>
                <w:noProof/>
                <w:webHidden/>
              </w:rPr>
              <w:tab/>
            </w:r>
            <w:r>
              <w:rPr>
                <w:noProof/>
                <w:webHidden/>
              </w:rPr>
              <w:fldChar w:fldCharType="begin"/>
            </w:r>
            <w:r>
              <w:rPr>
                <w:noProof/>
                <w:webHidden/>
              </w:rPr>
              <w:instrText xml:space="preserve"> PAGEREF _Toc204850197 \h </w:instrText>
            </w:r>
            <w:r>
              <w:rPr>
                <w:noProof/>
                <w:webHidden/>
              </w:rPr>
            </w:r>
            <w:r>
              <w:rPr>
                <w:noProof/>
                <w:webHidden/>
              </w:rPr>
              <w:fldChar w:fldCharType="separate"/>
            </w:r>
            <w:r>
              <w:rPr>
                <w:noProof/>
                <w:webHidden/>
              </w:rPr>
              <w:t>15</w:t>
            </w:r>
            <w:r>
              <w:rPr>
                <w:noProof/>
                <w:webHidden/>
              </w:rPr>
              <w:fldChar w:fldCharType="end"/>
            </w:r>
          </w:hyperlink>
        </w:p>
        <w:p w14:paraId="0D7B8841" w14:textId="76970B7B" w:rsidR="00CC2609" w:rsidRDefault="00CC2609">
          <w:pPr>
            <w:pStyle w:val="TOC3"/>
            <w:tabs>
              <w:tab w:val="right" w:leader="dot" w:pos="9038"/>
            </w:tabs>
            <w:rPr>
              <w:rFonts w:asciiTheme="minorHAnsi" w:eastAsiaTheme="minorEastAsia" w:hAnsiTheme="minorHAnsi" w:cstheme="minorBidi"/>
              <w:noProof/>
              <w:kern w:val="2"/>
              <w:szCs w:val="24"/>
              <w14:ligatures w14:val="standardContextual"/>
            </w:rPr>
          </w:pPr>
          <w:hyperlink w:anchor="_Toc204850198" w:history="1">
            <w:r w:rsidRPr="00D11FFE">
              <w:rPr>
                <w:rStyle w:val="Hyperlink"/>
                <w:noProof/>
              </w:rPr>
              <w:t>Other rights of data subjects</w:t>
            </w:r>
            <w:r>
              <w:rPr>
                <w:noProof/>
                <w:webHidden/>
              </w:rPr>
              <w:tab/>
            </w:r>
            <w:r>
              <w:rPr>
                <w:noProof/>
                <w:webHidden/>
              </w:rPr>
              <w:fldChar w:fldCharType="begin"/>
            </w:r>
            <w:r>
              <w:rPr>
                <w:noProof/>
                <w:webHidden/>
              </w:rPr>
              <w:instrText xml:space="preserve"> PAGEREF _Toc204850198 \h </w:instrText>
            </w:r>
            <w:r>
              <w:rPr>
                <w:noProof/>
                <w:webHidden/>
              </w:rPr>
            </w:r>
            <w:r>
              <w:rPr>
                <w:noProof/>
                <w:webHidden/>
              </w:rPr>
              <w:fldChar w:fldCharType="separate"/>
            </w:r>
            <w:r>
              <w:rPr>
                <w:noProof/>
                <w:webHidden/>
              </w:rPr>
              <w:t>15</w:t>
            </w:r>
            <w:r>
              <w:rPr>
                <w:noProof/>
                <w:webHidden/>
              </w:rPr>
              <w:fldChar w:fldCharType="end"/>
            </w:r>
          </w:hyperlink>
        </w:p>
        <w:p w14:paraId="5726EB5F" w14:textId="726868DF"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199" w:history="1">
            <w:r w:rsidRPr="00D11FFE">
              <w:rPr>
                <w:rStyle w:val="Hyperlink"/>
                <w:noProof/>
              </w:rPr>
              <w:t>13. Data Protection Impact Assessments (DPIA) and Data Protection by Design and Default</w:t>
            </w:r>
            <w:r>
              <w:rPr>
                <w:noProof/>
                <w:webHidden/>
              </w:rPr>
              <w:tab/>
            </w:r>
            <w:r>
              <w:rPr>
                <w:noProof/>
                <w:webHidden/>
              </w:rPr>
              <w:fldChar w:fldCharType="begin"/>
            </w:r>
            <w:r>
              <w:rPr>
                <w:noProof/>
                <w:webHidden/>
              </w:rPr>
              <w:instrText xml:space="preserve"> PAGEREF _Toc204850199 \h </w:instrText>
            </w:r>
            <w:r>
              <w:rPr>
                <w:noProof/>
                <w:webHidden/>
              </w:rPr>
            </w:r>
            <w:r>
              <w:rPr>
                <w:noProof/>
                <w:webHidden/>
              </w:rPr>
              <w:fldChar w:fldCharType="separate"/>
            </w:r>
            <w:r>
              <w:rPr>
                <w:noProof/>
                <w:webHidden/>
              </w:rPr>
              <w:t>16</w:t>
            </w:r>
            <w:r>
              <w:rPr>
                <w:noProof/>
                <w:webHidden/>
              </w:rPr>
              <w:fldChar w:fldCharType="end"/>
            </w:r>
          </w:hyperlink>
        </w:p>
        <w:p w14:paraId="0B20797A" w14:textId="5BEF60D5"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200" w:history="1">
            <w:r w:rsidRPr="00D11FFE">
              <w:rPr>
                <w:rStyle w:val="Hyperlink"/>
                <w:bCs/>
                <w:noProof/>
              </w:rPr>
              <w:t>14. Data Processors</w:t>
            </w:r>
            <w:r>
              <w:rPr>
                <w:noProof/>
                <w:webHidden/>
              </w:rPr>
              <w:tab/>
            </w:r>
            <w:r>
              <w:rPr>
                <w:noProof/>
                <w:webHidden/>
              </w:rPr>
              <w:fldChar w:fldCharType="begin"/>
            </w:r>
            <w:r>
              <w:rPr>
                <w:noProof/>
                <w:webHidden/>
              </w:rPr>
              <w:instrText xml:space="preserve"> PAGEREF _Toc204850200 \h </w:instrText>
            </w:r>
            <w:r>
              <w:rPr>
                <w:noProof/>
                <w:webHidden/>
              </w:rPr>
            </w:r>
            <w:r>
              <w:rPr>
                <w:noProof/>
                <w:webHidden/>
              </w:rPr>
              <w:fldChar w:fldCharType="separate"/>
            </w:r>
            <w:r>
              <w:rPr>
                <w:noProof/>
                <w:webHidden/>
              </w:rPr>
              <w:t>17</w:t>
            </w:r>
            <w:r>
              <w:rPr>
                <w:noProof/>
                <w:webHidden/>
              </w:rPr>
              <w:fldChar w:fldCharType="end"/>
            </w:r>
          </w:hyperlink>
        </w:p>
        <w:p w14:paraId="77E0E840" w14:textId="29ED358F"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201" w:history="1">
            <w:r w:rsidRPr="00D11FFE">
              <w:rPr>
                <w:rStyle w:val="Hyperlink"/>
                <w:noProof/>
              </w:rPr>
              <w:t>15. Record of Processing Activities</w:t>
            </w:r>
            <w:r>
              <w:rPr>
                <w:noProof/>
                <w:webHidden/>
              </w:rPr>
              <w:tab/>
            </w:r>
            <w:r>
              <w:rPr>
                <w:noProof/>
                <w:webHidden/>
              </w:rPr>
              <w:fldChar w:fldCharType="begin"/>
            </w:r>
            <w:r>
              <w:rPr>
                <w:noProof/>
                <w:webHidden/>
              </w:rPr>
              <w:instrText xml:space="preserve"> PAGEREF _Toc204850201 \h </w:instrText>
            </w:r>
            <w:r>
              <w:rPr>
                <w:noProof/>
                <w:webHidden/>
              </w:rPr>
            </w:r>
            <w:r>
              <w:rPr>
                <w:noProof/>
                <w:webHidden/>
              </w:rPr>
              <w:fldChar w:fldCharType="separate"/>
            </w:r>
            <w:r>
              <w:rPr>
                <w:noProof/>
                <w:webHidden/>
              </w:rPr>
              <w:t>17</w:t>
            </w:r>
            <w:r>
              <w:rPr>
                <w:noProof/>
                <w:webHidden/>
              </w:rPr>
              <w:fldChar w:fldCharType="end"/>
            </w:r>
          </w:hyperlink>
        </w:p>
        <w:p w14:paraId="0A3AE287" w14:textId="20948112"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202" w:history="1">
            <w:r w:rsidRPr="00D11FFE">
              <w:rPr>
                <w:rStyle w:val="Hyperlink"/>
                <w:noProof/>
              </w:rPr>
              <w:t>16. Roles and Responsibilities</w:t>
            </w:r>
            <w:r>
              <w:rPr>
                <w:noProof/>
                <w:webHidden/>
              </w:rPr>
              <w:tab/>
            </w:r>
            <w:r>
              <w:rPr>
                <w:noProof/>
                <w:webHidden/>
              </w:rPr>
              <w:fldChar w:fldCharType="begin"/>
            </w:r>
            <w:r>
              <w:rPr>
                <w:noProof/>
                <w:webHidden/>
              </w:rPr>
              <w:instrText xml:space="preserve"> PAGEREF _Toc204850202 \h </w:instrText>
            </w:r>
            <w:r>
              <w:rPr>
                <w:noProof/>
                <w:webHidden/>
              </w:rPr>
            </w:r>
            <w:r>
              <w:rPr>
                <w:noProof/>
                <w:webHidden/>
              </w:rPr>
              <w:fldChar w:fldCharType="separate"/>
            </w:r>
            <w:r>
              <w:rPr>
                <w:noProof/>
                <w:webHidden/>
              </w:rPr>
              <w:t>18</w:t>
            </w:r>
            <w:r>
              <w:rPr>
                <w:noProof/>
                <w:webHidden/>
              </w:rPr>
              <w:fldChar w:fldCharType="end"/>
            </w:r>
          </w:hyperlink>
        </w:p>
        <w:p w14:paraId="10111183" w14:textId="31015238" w:rsidR="00CC2609" w:rsidRDefault="00CC2609">
          <w:pPr>
            <w:pStyle w:val="TOC3"/>
            <w:tabs>
              <w:tab w:val="right" w:leader="dot" w:pos="9038"/>
            </w:tabs>
            <w:rPr>
              <w:rFonts w:asciiTheme="minorHAnsi" w:eastAsiaTheme="minorEastAsia" w:hAnsiTheme="minorHAnsi" w:cstheme="minorBidi"/>
              <w:noProof/>
              <w:kern w:val="2"/>
              <w:szCs w:val="24"/>
              <w14:ligatures w14:val="standardContextual"/>
            </w:rPr>
          </w:pPr>
          <w:hyperlink w:anchor="_Toc204850203" w:history="1">
            <w:r w:rsidRPr="00D11FFE">
              <w:rPr>
                <w:rStyle w:val="Hyperlink"/>
                <w:noProof/>
              </w:rPr>
              <w:t>Senior Information Risk Owner (SIRO)</w:t>
            </w:r>
            <w:r>
              <w:rPr>
                <w:noProof/>
                <w:webHidden/>
              </w:rPr>
              <w:tab/>
            </w:r>
            <w:r>
              <w:rPr>
                <w:noProof/>
                <w:webHidden/>
              </w:rPr>
              <w:fldChar w:fldCharType="begin"/>
            </w:r>
            <w:r>
              <w:rPr>
                <w:noProof/>
                <w:webHidden/>
              </w:rPr>
              <w:instrText xml:space="preserve"> PAGEREF _Toc204850203 \h </w:instrText>
            </w:r>
            <w:r>
              <w:rPr>
                <w:noProof/>
                <w:webHidden/>
              </w:rPr>
            </w:r>
            <w:r>
              <w:rPr>
                <w:noProof/>
                <w:webHidden/>
              </w:rPr>
              <w:fldChar w:fldCharType="separate"/>
            </w:r>
            <w:r>
              <w:rPr>
                <w:noProof/>
                <w:webHidden/>
              </w:rPr>
              <w:t>18</w:t>
            </w:r>
            <w:r>
              <w:rPr>
                <w:noProof/>
                <w:webHidden/>
              </w:rPr>
              <w:fldChar w:fldCharType="end"/>
            </w:r>
          </w:hyperlink>
        </w:p>
        <w:p w14:paraId="79D99877" w14:textId="394B137D" w:rsidR="00CC2609" w:rsidRDefault="00CC2609">
          <w:pPr>
            <w:pStyle w:val="TOC3"/>
            <w:tabs>
              <w:tab w:val="right" w:leader="dot" w:pos="9038"/>
            </w:tabs>
            <w:rPr>
              <w:rFonts w:asciiTheme="minorHAnsi" w:eastAsiaTheme="minorEastAsia" w:hAnsiTheme="minorHAnsi" w:cstheme="minorBidi"/>
              <w:noProof/>
              <w:kern w:val="2"/>
              <w:szCs w:val="24"/>
              <w14:ligatures w14:val="standardContextual"/>
            </w:rPr>
          </w:pPr>
          <w:hyperlink w:anchor="_Toc204850204" w:history="1">
            <w:r w:rsidRPr="00D11FFE">
              <w:rPr>
                <w:rStyle w:val="Hyperlink"/>
                <w:noProof/>
              </w:rPr>
              <w:t>Data Protection Officer (DPO)</w:t>
            </w:r>
            <w:r>
              <w:rPr>
                <w:noProof/>
                <w:webHidden/>
              </w:rPr>
              <w:tab/>
            </w:r>
            <w:r>
              <w:rPr>
                <w:noProof/>
                <w:webHidden/>
              </w:rPr>
              <w:fldChar w:fldCharType="begin"/>
            </w:r>
            <w:r>
              <w:rPr>
                <w:noProof/>
                <w:webHidden/>
              </w:rPr>
              <w:instrText xml:space="preserve"> PAGEREF _Toc204850204 \h </w:instrText>
            </w:r>
            <w:r>
              <w:rPr>
                <w:noProof/>
                <w:webHidden/>
              </w:rPr>
            </w:r>
            <w:r>
              <w:rPr>
                <w:noProof/>
                <w:webHidden/>
              </w:rPr>
              <w:fldChar w:fldCharType="separate"/>
            </w:r>
            <w:r>
              <w:rPr>
                <w:noProof/>
                <w:webHidden/>
              </w:rPr>
              <w:t>18</w:t>
            </w:r>
            <w:r>
              <w:rPr>
                <w:noProof/>
                <w:webHidden/>
              </w:rPr>
              <w:fldChar w:fldCharType="end"/>
            </w:r>
          </w:hyperlink>
        </w:p>
        <w:p w14:paraId="2BBB112E" w14:textId="3CFF6567" w:rsidR="00CC2609" w:rsidRDefault="00CC2609">
          <w:pPr>
            <w:pStyle w:val="TOC3"/>
            <w:tabs>
              <w:tab w:val="right" w:leader="dot" w:pos="9038"/>
            </w:tabs>
            <w:rPr>
              <w:rFonts w:asciiTheme="minorHAnsi" w:eastAsiaTheme="minorEastAsia" w:hAnsiTheme="minorHAnsi" w:cstheme="minorBidi"/>
              <w:noProof/>
              <w:kern w:val="2"/>
              <w:szCs w:val="24"/>
              <w14:ligatures w14:val="standardContextual"/>
            </w:rPr>
          </w:pPr>
          <w:hyperlink w:anchor="_Toc204850205" w:history="1">
            <w:r w:rsidRPr="00D11FFE">
              <w:rPr>
                <w:rStyle w:val="Hyperlink"/>
                <w:noProof/>
              </w:rPr>
              <w:t>Other roles</w:t>
            </w:r>
            <w:r>
              <w:rPr>
                <w:noProof/>
                <w:webHidden/>
              </w:rPr>
              <w:tab/>
            </w:r>
            <w:r>
              <w:rPr>
                <w:noProof/>
                <w:webHidden/>
              </w:rPr>
              <w:fldChar w:fldCharType="begin"/>
            </w:r>
            <w:r>
              <w:rPr>
                <w:noProof/>
                <w:webHidden/>
              </w:rPr>
              <w:instrText xml:space="preserve"> PAGEREF _Toc204850205 \h </w:instrText>
            </w:r>
            <w:r>
              <w:rPr>
                <w:noProof/>
                <w:webHidden/>
              </w:rPr>
            </w:r>
            <w:r>
              <w:rPr>
                <w:noProof/>
                <w:webHidden/>
              </w:rPr>
              <w:fldChar w:fldCharType="separate"/>
            </w:r>
            <w:r>
              <w:rPr>
                <w:noProof/>
                <w:webHidden/>
              </w:rPr>
              <w:t>19</w:t>
            </w:r>
            <w:r>
              <w:rPr>
                <w:noProof/>
                <w:webHidden/>
              </w:rPr>
              <w:fldChar w:fldCharType="end"/>
            </w:r>
          </w:hyperlink>
        </w:p>
        <w:p w14:paraId="428EE69B" w14:textId="74DA412E"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206" w:history="1">
            <w:r w:rsidRPr="00D11FFE">
              <w:rPr>
                <w:rStyle w:val="Hyperlink"/>
                <w:noProof/>
              </w:rPr>
              <w:t>17. Personal Data Breaches</w:t>
            </w:r>
            <w:r>
              <w:rPr>
                <w:noProof/>
                <w:webHidden/>
              </w:rPr>
              <w:tab/>
            </w:r>
            <w:r>
              <w:rPr>
                <w:noProof/>
                <w:webHidden/>
              </w:rPr>
              <w:fldChar w:fldCharType="begin"/>
            </w:r>
            <w:r>
              <w:rPr>
                <w:noProof/>
                <w:webHidden/>
              </w:rPr>
              <w:instrText xml:space="preserve"> PAGEREF _Toc204850206 \h </w:instrText>
            </w:r>
            <w:r>
              <w:rPr>
                <w:noProof/>
                <w:webHidden/>
              </w:rPr>
            </w:r>
            <w:r>
              <w:rPr>
                <w:noProof/>
                <w:webHidden/>
              </w:rPr>
              <w:fldChar w:fldCharType="separate"/>
            </w:r>
            <w:r>
              <w:rPr>
                <w:noProof/>
                <w:webHidden/>
              </w:rPr>
              <w:t>19</w:t>
            </w:r>
            <w:r>
              <w:rPr>
                <w:noProof/>
                <w:webHidden/>
              </w:rPr>
              <w:fldChar w:fldCharType="end"/>
            </w:r>
          </w:hyperlink>
        </w:p>
        <w:p w14:paraId="7F319A6D" w14:textId="4368591A"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207" w:history="1">
            <w:r w:rsidRPr="00D11FFE">
              <w:rPr>
                <w:rStyle w:val="Hyperlink"/>
                <w:noProof/>
              </w:rPr>
              <w:t>18. Failure to Comply with the Provisions of the Data Protection Legislation</w:t>
            </w:r>
            <w:r>
              <w:rPr>
                <w:noProof/>
                <w:webHidden/>
              </w:rPr>
              <w:tab/>
            </w:r>
            <w:r>
              <w:rPr>
                <w:noProof/>
                <w:webHidden/>
              </w:rPr>
              <w:fldChar w:fldCharType="begin"/>
            </w:r>
            <w:r>
              <w:rPr>
                <w:noProof/>
                <w:webHidden/>
              </w:rPr>
              <w:instrText xml:space="preserve"> PAGEREF _Toc204850207 \h </w:instrText>
            </w:r>
            <w:r>
              <w:rPr>
                <w:noProof/>
                <w:webHidden/>
              </w:rPr>
            </w:r>
            <w:r>
              <w:rPr>
                <w:noProof/>
                <w:webHidden/>
              </w:rPr>
              <w:fldChar w:fldCharType="separate"/>
            </w:r>
            <w:r>
              <w:rPr>
                <w:noProof/>
                <w:webHidden/>
              </w:rPr>
              <w:t>19</w:t>
            </w:r>
            <w:r>
              <w:rPr>
                <w:noProof/>
                <w:webHidden/>
              </w:rPr>
              <w:fldChar w:fldCharType="end"/>
            </w:r>
          </w:hyperlink>
        </w:p>
        <w:p w14:paraId="2CFE4ACC" w14:textId="4B777730"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208" w:history="1">
            <w:r w:rsidRPr="00D11FFE">
              <w:rPr>
                <w:rStyle w:val="Hyperlink"/>
                <w:noProof/>
              </w:rPr>
              <w:t>19. Criminal Offences</w:t>
            </w:r>
            <w:r>
              <w:rPr>
                <w:noProof/>
                <w:webHidden/>
              </w:rPr>
              <w:tab/>
            </w:r>
            <w:r>
              <w:rPr>
                <w:noProof/>
                <w:webHidden/>
              </w:rPr>
              <w:fldChar w:fldCharType="begin"/>
            </w:r>
            <w:r>
              <w:rPr>
                <w:noProof/>
                <w:webHidden/>
              </w:rPr>
              <w:instrText xml:space="preserve"> PAGEREF _Toc204850208 \h </w:instrText>
            </w:r>
            <w:r>
              <w:rPr>
                <w:noProof/>
                <w:webHidden/>
              </w:rPr>
            </w:r>
            <w:r>
              <w:rPr>
                <w:noProof/>
                <w:webHidden/>
              </w:rPr>
              <w:fldChar w:fldCharType="separate"/>
            </w:r>
            <w:r>
              <w:rPr>
                <w:noProof/>
                <w:webHidden/>
              </w:rPr>
              <w:t>19</w:t>
            </w:r>
            <w:r>
              <w:rPr>
                <w:noProof/>
                <w:webHidden/>
              </w:rPr>
              <w:fldChar w:fldCharType="end"/>
            </w:r>
          </w:hyperlink>
        </w:p>
        <w:p w14:paraId="3288500C" w14:textId="2AB1008C"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209" w:history="1">
            <w:r w:rsidRPr="00D11FFE">
              <w:rPr>
                <w:rStyle w:val="Hyperlink"/>
                <w:noProof/>
              </w:rPr>
              <w:t>20. Accessing Police Scotland Systems</w:t>
            </w:r>
            <w:r>
              <w:rPr>
                <w:noProof/>
                <w:webHidden/>
              </w:rPr>
              <w:tab/>
            </w:r>
            <w:r>
              <w:rPr>
                <w:noProof/>
                <w:webHidden/>
              </w:rPr>
              <w:fldChar w:fldCharType="begin"/>
            </w:r>
            <w:r>
              <w:rPr>
                <w:noProof/>
                <w:webHidden/>
              </w:rPr>
              <w:instrText xml:space="preserve"> PAGEREF _Toc204850209 \h </w:instrText>
            </w:r>
            <w:r>
              <w:rPr>
                <w:noProof/>
                <w:webHidden/>
              </w:rPr>
            </w:r>
            <w:r>
              <w:rPr>
                <w:noProof/>
                <w:webHidden/>
              </w:rPr>
              <w:fldChar w:fldCharType="separate"/>
            </w:r>
            <w:r>
              <w:rPr>
                <w:noProof/>
                <w:webHidden/>
              </w:rPr>
              <w:t>20</w:t>
            </w:r>
            <w:r>
              <w:rPr>
                <w:noProof/>
                <w:webHidden/>
              </w:rPr>
              <w:fldChar w:fldCharType="end"/>
            </w:r>
          </w:hyperlink>
        </w:p>
        <w:p w14:paraId="3273B154" w14:textId="2DCBA9BC" w:rsidR="00CC2609" w:rsidRDefault="00CC2609">
          <w:pPr>
            <w:pStyle w:val="TOC3"/>
            <w:tabs>
              <w:tab w:val="right" w:leader="dot" w:pos="9038"/>
            </w:tabs>
            <w:rPr>
              <w:rFonts w:asciiTheme="minorHAnsi" w:eastAsiaTheme="minorEastAsia" w:hAnsiTheme="minorHAnsi" w:cstheme="minorBidi"/>
              <w:noProof/>
              <w:kern w:val="2"/>
              <w:szCs w:val="24"/>
              <w14:ligatures w14:val="standardContextual"/>
            </w:rPr>
          </w:pPr>
          <w:hyperlink w:anchor="_Toc204850210" w:history="1">
            <w:r w:rsidRPr="00D11FFE">
              <w:rPr>
                <w:rStyle w:val="Hyperlink"/>
                <w:noProof/>
              </w:rPr>
              <w:t>Personal Data within Police Scotland Systems to which access is permitted</w:t>
            </w:r>
            <w:r>
              <w:rPr>
                <w:noProof/>
                <w:webHidden/>
              </w:rPr>
              <w:tab/>
            </w:r>
            <w:r>
              <w:rPr>
                <w:noProof/>
                <w:webHidden/>
              </w:rPr>
              <w:fldChar w:fldCharType="begin"/>
            </w:r>
            <w:r>
              <w:rPr>
                <w:noProof/>
                <w:webHidden/>
              </w:rPr>
              <w:instrText xml:space="preserve"> PAGEREF _Toc204850210 \h </w:instrText>
            </w:r>
            <w:r>
              <w:rPr>
                <w:noProof/>
                <w:webHidden/>
              </w:rPr>
            </w:r>
            <w:r>
              <w:rPr>
                <w:noProof/>
                <w:webHidden/>
              </w:rPr>
              <w:fldChar w:fldCharType="separate"/>
            </w:r>
            <w:r>
              <w:rPr>
                <w:noProof/>
                <w:webHidden/>
              </w:rPr>
              <w:t>20</w:t>
            </w:r>
            <w:r>
              <w:rPr>
                <w:noProof/>
                <w:webHidden/>
              </w:rPr>
              <w:fldChar w:fldCharType="end"/>
            </w:r>
          </w:hyperlink>
        </w:p>
        <w:p w14:paraId="1B66BC9C" w14:textId="76A9B979" w:rsidR="00CC2609" w:rsidRDefault="00CC2609">
          <w:pPr>
            <w:pStyle w:val="TOC3"/>
            <w:tabs>
              <w:tab w:val="right" w:leader="dot" w:pos="9038"/>
            </w:tabs>
            <w:rPr>
              <w:rFonts w:asciiTheme="minorHAnsi" w:eastAsiaTheme="minorEastAsia" w:hAnsiTheme="minorHAnsi" w:cstheme="minorBidi"/>
              <w:noProof/>
              <w:kern w:val="2"/>
              <w:szCs w:val="24"/>
              <w14:ligatures w14:val="standardContextual"/>
            </w:rPr>
          </w:pPr>
          <w:hyperlink w:anchor="_Toc204850211" w:history="1">
            <w:r w:rsidRPr="00D11FFE">
              <w:rPr>
                <w:rStyle w:val="Hyperlink"/>
                <w:noProof/>
              </w:rPr>
              <w:t>Personal Data within Police Scotland Systems to which Access is not Permitted</w:t>
            </w:r>
            <w:r>
              <w:rPr>
                <w:noProof/>
                <w:webHidden/>
              </w:rPr>
              <w:tab/>
            </w:r>
            <w:r>
              <w:rPr>
                <w:noProof/>
                <w:webHidden/>
              </w:rPr>
              <w:fldChar w:fldCharType="begin"/>
            </w:r>
            <w:r>
              <w:rPr>
                <w:noProof/>
                <w:webHidden/>
              </w:rPr>
              <w:instrText xml:space="preserve"> PAGEREF _Toc204850211 \h </w:instrText>
            </w:r>
            <w:r>
              <w:rPr>
                <w:noProof/>
                <w:webHidden/>
              </w:rPr>
            </w:r>
            <w:r>
              <w:rPr>
                <w:noProof/>
                <w:webHidden/>
              </w:rPr>
              <w:fldChar w:fldCharType="separate"/>
            </w:r>
            <w:r>
              <w:rPr>
                <w:noProof/>
                <w:webHidden/>
              </w:rPr>
              <w:t>21</w:t>
            </w:r>
            <w:r>
              <w:rPr>
                <w:noProof/>
                <w:webHidden/>
              </w:rPr>
              <w:fldChar w:fldCharType="end"/>
            </w:r>
          </w:hyperlink>
        </w:p>
        <w:p w14:paraId="4F5E5F06" w14:textId="10A23B8C" w:rsidR="00CC2609" w:rsidRDefault="00CC2609">
          <w:pPr>
            <w:pStyle w:val="TOC3"/>
            <w:tabs>
              <w:tab w:val="right" w:leader="dot" w:pos="9038"/>
            </w:tabs>
            <w:rPr>
              <w:rFonts w:asciiTheme="minorHAnsi" w:eastAsiaTheme="minorEastAsia" w:hAnsiTheme="minorHAnsi" w:cstheme="minorBidi"/>
              <w:noProof/>
              <w:kern w:val="2"/>
              <w:szCs w:val="24"/>
              <w14:ligatures w14:val="standardContextual"/>
            </w:rPr>
          </w:pPr>
          <w:hyperlink w:anchor="_Toc204850212" w:history="1">
            <w:r w:rsidRPr="00D11FFE">
              <w:rPr>
                <w:rStyle w:val="Hyperlink"/>
                <w:noProof/>
              </w:rPr>
              <w:t>Personal Data Accessed Through Normal Working Practices</w:t>
            </w:r>
            <w:r>
              <w:rPr>
                <w:noProof/>
                <w:webHidden/>
              </w:rPr>
              <w:tab/>
            </w:r>
            <w:r>
              <w:rPr>
                <w:noProof/>
                <w:webHidden/>
              </w:rPr>
              <w:fldChar w:fldCharType="begin"/>
            </w:r>
            <w:r>
              <w:rPr>
                <w:noProof/>
                <w:webHidden/>
              </w:rPr>
              <w:instrText xml:space="preserve"> PAGEREF _Toc204850212 \h </w:instrText>
            </w:r>
            <w:r>
              <w:rPr>
                <w:noProof/>
                <w:webHidden/>
              </w:rPr>
            </w:r>
            <w:r>
              <w:rPr>
                <w:noProof/>
                <w:webHidden/>
              </w:rPr>
              <w:fldChar w:fldCharType="separate"/>
            </w:r>
            <w:r>
              <w:rPr>
                <w:noProof/>
                <w:webHidden/>
              </w:rPr>
              <w:t>22</w:t>
            </w:r>
            <w:r>
              <w:rPr>
                <w:noProof/>
                <w:webHidden/>
              </w:rPr>
              <w:fldChar w:fldCharType="end"/>
            </w:r>
          </w:hyperlink>
        </w:p>
        <w:p w14:paraId="7270456A" w14:textId="4FF3DF98"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213" w:history="1">
            <w:r w:rsidRPr="00D11FFE">
              <w:rPr>
                <w:rStyle w:val="Hyperlink"/>
                <w:noProof/>
              </w:rPr>
              <w:t>21. Disclosure of Personal Data held within Police Scotland Systems</w:t>
            </w:r>
            <w:r>
              <w:rPr>
                <w:noProof/>
                <w:webHidden/>
              </w:rPr>
              <w:tab/>
            </w:r>
            <w:r>
              <w:rPr>
                <w:noProof/>
                <w:webHidden/>
              </w:rPr>
              <w:fldChar w:fldCharType="begin"/>
            </w:r>
            <w:r>
              <w:rPr>
                <w:noProof/>
                <w:webHidden/>
              </w:rPr>
              <w:instrText xml:space="preserve"> PAGEREF _Toc204850213 \h </w:instrText>
            </w:r>
            <w:r>
              <w:rPr>
                <w:noProof/>
                <w:webHidden/>
              </w:rPr>
            </w:r>
            <w:r>
              <w:rPr>
                <w:noProof/>
                <w:webHidden/>
              </w:rPr>
              <w:fldChar w:fldCharType="separate"/>
            </w:r>
            <w:r>
              <w:rPr>
                <w:noProof/>
                <w:webHidden/>
              </w:rPr>
              <w:t>23</w:t>
            </w:r>
            <w:r>
              <w:rPr>
                <w:noProof/>
                <w:webHidden/>
              </w:rPr>
              <w:fldChar w:fldCharType="end"/>
            </w:r>
          </w:hyperlink>
        </w:p>
        <w:p w14:paraId="5823E459" w14:textId="7639EBA4"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214" w:history="1">
            <w:r w:rsidRPr="00D11FFE">
              <w:rPr>
                <w:rStyle w:val="Hyperlink"/>
                <w:noProof/>
              </w:rPr>
              <w:t>22. Suspected Breaches of the Act – Section 170 to 173</w:t>
            </w:r>
            <w:r>
              <w:rPr>
                <w:noProof/>
                <w:webHidden/>
              </w:rPr>
              <w:tab/>
            </w:r>
            <w:r>
              <w:rPr>
                <w:noProof/>
                <w:webHidden/>
              </w:rPr>
              <w:fldChar w:fldCharType="begin"/>
            </w:r>
            <w:r>
              <w:rPr>
                <w:noProof/>
                <w:webHidden/>
              </w:rPr>
              <w:instrText xml:space="preserve"> PAGEREF _Toc204850214 \h </w:instrText>
            </w:r>
            <w:r>
              <w:rPr>
                <w:noProof/>
                <w:webHidden/>
              </w:rPr>
            </w:r>
            <w:r>
              <w:rPr>
                <w:noProof/>
                <w:webHidden/>
              </w:rPr>
              <w:fldChar w:fldCharType="separate"/>
            </w:r>
            <w:r>
              <w:rPr>
                <w:noProof/>
                <w:webHidden/>
              </w:rPr>
              <w:t>23</w:t>
            </w:r>
            <w:r>
              <w:rPr>
                <w:noProof/>
                <w:webHidden/>
              </w:rPr>
              <w:fldChar w:fldCharType="end"/>
            </w:r>
          </w:hyperlink>
        </w:p>
        <w:p w14:paraId="73FC1973" w14:textId="759BDFFC"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215" w:history="1">
            <w:r w:rsidRPr="00D11FFE">
              <w:rPr>
                <w:rStyle w:val="Hyperlink"/>
                <w:noProof/>
              </w:rPr>
              <w:t>23. Concerns Regarding Conduct of Others</w:t>
            </w:r>
            <w:r>
              <w:rPr>
                <w:noProof/>
                <w:webHidden/>
              </w:rPr>
              <w:tab/>
            </w:r>
            <w:r>
              <w:rPr>
                <w:noProof/>
                <w:webHidden/>
              </w:rPr>
              <w:fldChar w:fldCharType="begin"/>
            </w:r>
            <w:r>
              <w:rPr>
                <w:noProof/>
                <w:webHidden/>
              </w:rPr>
              <w:instrText xml:space="preserve"> PAGEREF _Toc204850215 \h </w:instrText>
            </w:r>
            <w:r>
              <w:rPr>
                <w:noProof/>
                <w:webHidden/>
              </w:rPr>
            </w:r>
            <w:r>
              <w:rPr>
                <w:noProof/>
                <w:webHidden/>
              </w:rPr>
              <w:fldChar w:fldCharType="separate"/>
            </w:r>
            <w:r>
              <w:rPr>
                <w:noProof/>
                <w:webHidden/>
              </w:rPr>
              <w:t>24</w:t>
            </w:r>
            <w:r>
              <w:rPr>
                <w:noProof/>
                <w:webHidden/>
              </w:rPr>
              <w:fldChar w:fldCharType="end"/>
            </w:r>
          </w:hyperlink>
        </w:p>
        <w:p w14:paraId="296938EE" w14:textId="51102B64"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216" w:history="1">
            <w:r w:rsidRPr="00D11FFE">
              <w:rPr>
                <w:rStyle w:val="Hyperlink"/>
                <w:noProof/>
              </w:rPr>
              <w:t>24. How Officers and Staff obtain their Personal Data held by Police Scotland</w:t>
            </w:r>
            <w:r>
              <w:rPr>
                <w:noProof/>
                <w:webHidden/>
              </w:rPr>
              <w:tab/>
            </w:r>
            <w:r>
              <w:rPr>
                <w:noProof/>
                <w:webHidden/>
              </w:rPr>
              <w:fldChar w:fldCharType="begin"/>
            </w:r>
            <w:r>
              <w:rPr>
                <w:noProof/>
                <w:webHidden/>
              </w:rPr>
              <w:instrText xml:space="preserve"> PAGEREF _Toc204850216 \h </w:instrText>
            </w:r>
            <w:r>
              <w:rPr>
                <w:noProof/>
                <w:webHidden/>
              </w:rPr>
            </w:r>
            <w:r>
              <w:rPr>
                <w:noProof/>
                <w:webHidden/>
              </w:rPr>
              <w:fldChar w:fldCharType="separate"/>
            </w:r>
            <w:r>
              <w:rPr>
                <w:noProof/>
                <w:webHidden/>
              </w:rPr>
              <w:t>25</w:t>
            </w:r>
            <w:r>
              <w:rPr>
                <w:noProof/>
                <w:webHidden/>
              </w:rPr>
              <w:fldChar w:fldCharType="end"/>
            </w:r>
          </w:hyperlink>
        </w:p>
        <w:p w14:paraId="44B9C885" w14:textId="4178B7E1"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217" w:history="1">
            <w:r w:rsidRPr="00D11FFE">
              <w:rPr>
                <w:rStyle w:val="Hyperlink"/>
                <w:noProof/>
              </w:rPr>
              <w:t>25. Monitoring</w:t>
            </w:r>
            <w:r>
              <w:rPr>
                <w:noProof/>
                <w:webHidden/>
              </w:rPr>
              <w:tab/>
            </w:r>
            <w:r>
              <w:rPr>
                <w:noProof/>
                <w:webHidden/>
              </w:rPr>
              <w:fldChar w:fldCharType="begin"/>
            </w:r>
            <w:r>
              <w:rPr>
                <w:noProof/>
                <w:webHidden/>
              </w:rPr>
              <w:instrText xml:space="preserve"> PAGEREF _Toc204850217 \h </w:instrText>
            </w:r>
            <w:r>
              <w:rPr>
                <w:noProof/>
                <w:webHidden/>
              </w:rPr>
            </w:r>
            <w:r>
              <w:rPr>
                <w:noProof/>
                <w:webHidden/>
              </w:rPr>
              <w:fldChar w:fldCharType="separate"/>
            </w:r>
            <w:r>
              <w:rPr>
                <w:noProof/>
                <w:webHidden/>
              </w:rPr>
              <w:t>25</w:t>
            </w:r>
            <w:r>
              <w:rPr>
                <w:noProof/>
                <w:webHidden/>
              </w:rPr>
              <w:fldChar w:fldCharType="end"/>
            </w:r>
          </w:hyperlink>
        </w:p>
        <w:p w14:paraId="264E69CA" w14:textId="729EF0A5"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218" w:history="1">
            <w:r w:rsidRPr="00D11FFE">
              <w:rPr>
                <w:rStyle w:val="Hyperlink"/>
                <w:noProof/>
              </w:rPr>
              <w:t>Key Contacts</w:t>
            </w:r>
            <w:r>
              <w:rPr>
                <w:noProof/>
                <w:webHidden/>
              </w:rPr>
              <w:tab/>
            </w:r>
            <w:r>
              <w:rPr>
                <w:noProof/>
                <w:webHidden/>
              </w:rPr>
              <w:fldChar w:fldCharType="begin"/>
            </w:r>
            <w:r>
              <w:rPr>
                <w:noProof/>
                <w:webHidden/>
              </w:rPr>
              <w:instrText xml:space="preserve"> PAGEREF _Toc204850218 \h </w:instrText>
            </w:r>
            <w:r>
              <w:rPr>
                <w:noProof/>
                <w:webHidden/>
              </w:rPr>
            </w:r>
            <w:r>
              <w:rPr>
                <w:noProof/>
                <w:webHidden/>
              </w:rPr>
              <w:fldChar w:fldCharType="separate"/>
            </w:r>
            <w:r>
              <w:rPr>
                <w:noProof/>
                <w:webHidden/>
              </w:rPr>
              <w:t>25</w:t>
            </w:r>
            <w:r>
              <w:rPr>
                <w:noProof/>
                <w:webHidden/>
              </w:rPr>
              <w:fldChar w:fldCharType="end"/>
            </w:r>
          </w:hyperlink>
        </w:p>
        <w:p w14:paraId="293D2B33" w14:textId="7518B94F"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219" w:history="1">
            <w:r w:rsidRPr="00D11FFE">
              <w:rPr>
                <w:rStyle w:val="Hyperlink"/>
                <w:noProof/>
              </w:rPr>
              <w:t>Compliance record</w:t>
            </w:r>
            <w:r>
              <w:rPr>
                <w:noProof/>
                <w:webHidden/>
              </w:rPr>
              <w:tab/>
            </w:r>
            <w:r>
              <w:rPr>
                <w:noProof/>
                <w:webHidden/>
              </w:rPr>
              <w:fldChar w:fldCharType="begin"/>
            </w:r>
            <w:r>
              <w:rPr>
                <w:noProof/>
                <w:webHidden/>
              </w:rPr>
              <w:instrText xml:space="preserve"> PAGEREF _Toc204850219 \h </w:instrText>
            </w:r>
            <w:r>
              <w:rPr>
                <w:noProof/>
                <w:webHidden/>
              </w:rPr>
            </w:r>
            <w:r>
              <w:rPr>
                <w:noProof/>
                <w:webHidden/>
              </w:rPr>
              <w:fldChar w:fldCharType="separate"/>
            </w:r>
            <w:r>
              <w:rPr>
                <w:noProof/>
                <w:webHidden/>
              </w:rPr>
              <w:t>26</w:t>
            </w:r>
            <w:r>
              <w:rPr>
                <w:noProof/>
                <w:webHidden/>
              </w:rPr>
              <w:fldChar w:fldCharType="end"/>
            </w:r>
          </w:hyperlink>
        </w:p>
        <w:p w14:paraId="2AAEFB93" w14:textId="5A36D741"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220" w:history="1">
            <w:r w:rsidRPr="00D11FFE">
              <w:rPr>
                <w:rStyle w:val="Hyperlink"/>
                <w:noProof/>
              </w:rPr>
              <w:t>Version control table</w:t>
            </w:r>
            <w:r>
              <w:rPr>
                <w:noProof/>
                <w:webHidden/>
              </w:rPr>
              <w:tab/>
            </w:r>
            <w:r>
              <w:rPr>
                <w:noProof/>
                <w:webHidden/>
              </w:rPr>
              <w:fldChar w:fldCharType="begin"/>
            </w:r>
            <w:r>
              <w:rPr>
                <w:noProof/>
                <w:webHidden/>
              </w:rPr>
              <w:instrText xml:space="preserve"> PAGEREF _Toc204850220 \h </w:instrText>
            </w:r>
            <w:r>
              <w:rPr>
                <w:noProof/>
                <w:webHidden/>
              </w:rPr>
            </w:r>
            <w:r>
              <w:rPr>
                <w:noProof/>
                <w:webHidden/>
              </w:rPr>
              <w:fldChar w:fldCharType="separate"/>
            </w:r>
            <w:r>
              <w:rPr>
                <w:noProof/>
                <w:webHidden/>
              </w:rPr>
              <w:t>26</w:t>
            </w:r>
            <w:r>
              <w:rPr>
                <w:noProof/>
                <w:webHidden/>
              </w:rPr>
              <w:fldChar w:fldCharType="end"/>
            </w:r>
          </w:hyperlink>
        </w:p>
        <w:p w14:paraId="15F60B26" w14:textId="0897F188" w:rsidR="00CC2609" w:rsidRDefault="00CC2609">
          <w:pPr>
            <w:pStyle w:val="TOC2"/>
            <w:tabs>
              <w:tab w:val="right" w:leader="dot" w:pos="9038"/>
            </w:tabs>
            <w:rPr>
              <w:rFonts w:asciiTheme="minorHAnsi" w:eastAsiaTheme="minorEastAsia" w:hAnsiTheme="minorHAnsi" w:cstheme="minorBidi"/>
              <w:noProof/>
              <w:kern w:val="2"/>
              <w:szCs w:val="24"/>
              <w14:ligatures w14:val="standardContextual"/>
            </w:rPr>
          </w:pPr>
          <w:hyperlink w:anchor="_Toc204850221" w:history="1">
            <w:r w:rsidRPr="00D11FFE">
              <w:rPr>
                <w:rStyle w:val="Hyperlink"/>
                <w:noProof/>
              </w:rPr>
              <w:t>Feedback</w:t>
            </w:r>
            <w:r>
              <w:rPr>
                <w:noProof/>
                <w:webHidden/>
              </w:rPr>
              <w:tab/>
            </w:r>
            <w:r>
              <w:rPr>
                <w:noProof/>
                <w:webHidden/>
              </w:rPr>
              <w:fldChar w:fldCharType="begin"/>
            </w:r>
            <w:r>
              <w:rPr>
                <w:noProof/>
                <w:webHidden/>
              </w:rPr>
              <w:instrText xml:space="preserve"> PAGEREF _Toc204850221 \h </w:instrText>
            </w:r>
            <w:r>
              <w:rPr>
                <w:noProof/>
                <w:webHidden/>
              </w:rPr>
            </w:r>
            <w:r>
              <w:rPr>
                <w:noProof/>
                <w:webHidden/>
              </w:rPr>
              <w:fldChar w:fldCharType="separate"/>
            </w:r>
            <w:r>
              <w:rPr>
                <w:noProof/>
                <w:webHidden/>
              </w:rPr>
              <w:t>28</w:t>
            </w:r>
            <w:r>
              <w:rPr>
                <w:noProof/>
                <w:webHidden/>
              </w:rPr>
              <w:fldChar w:fldCharType="end"/>
            </w:r>
          </w:hyperlink>
        </w:p>
        <w:p w14:paraId="3807100F" w14:textId="1B1674FE" w:rsidR="00052D8F" w:rsidRDefault="00052D8F">
          <w:r>
            <w:rPr>
              <w:b/>
              <w:bCs/>
            </w:rPr>
            <w:fldChar w:fldCharType="end"/>
          </w:r>
        </w:p>
      </w:sdtContent>
    </w:sdt>
    <w:p w14:paraId="28D216EC" w14:textId="05FB24CD" w:rsidR="00161C69" w:rsidRDefault="00161C69">
      <w:pPr>
        <w:spacing w:before="0" w:line="240" w:lineRule="auto"/>
        <w:rPr>
          <w:rFonts w:eastAsia="Times New Roman"/>
          <w:b/>
          <w:bCs/>
          <w:noProof/>
          <w:sz w:val="32"/>
          <w:szCs w:val="26"/>
        </w:rPr>
      </w:pPr>
      <w:r>
        <w:rPr>
          <w:bCs/>
          <w:noProof/>
        </w:rPr>
        <w:br w:type="page"/>
      </w:r>
    </w:p>
    <w:p w14:paraId="1EC62CBC" w14:textId="77777777" w:rsidR="004546DC" w:rsidRPr="003039DB" w:rsidRDefault="005A6AB6" w:rsidP="004C3577">
      <w:pPr>
        <w:pStyle w:val="Heading2"/>
        <w:numPr>
          <w:ilvl w:val="0"/>
          <w:numId w:val="2"/>
        </w:numPr>
      </w:pPr>
      <w:bookmarkStart w:id="4" w:name="_Toc203466120"/>
      <w:bookmarkStart w:id="5" w:name="_Toc204850180"/>
      <w:r w:rsidRPr="003039DB">
        <w:lastRenderedPageBreak/>
        <w:t>Introduction/purpose</w:t>
      </w:r>
      <w:bookmarkEnd w:id="4"/>
      <w:bookmarkEnd w:id="5"/>
    </w:p>
    <w:p w14:paraId="19F017CA" w14:textId="77C41456" w:rsidR="00C74539" w:rsidRPr="00C74539" w:rsidRDefault="00C74539" w:rsidP="00C74539">
      <w:pPr>
        <w:widowControl w:val="0"/>
        <w:overflowPunct w:val="0"/>
        <w:autoSpaceDE w:val="0"/>
        <w:autoSpaceDN w:val="0"/>
        <w:adjustRightInd w:val="0"/>
        <w:textAlignment w:val="baseline"/>
        <w:rPr>
          <w:rFonts w:eastAsia="Times New Roman" w:cs="Arial"/>
          <w:szCs w:val="24"/>
        </w:rPr>
      </w:pPr>
      <w:r w:rsidRPr="00C74539">
        <w:rPr>
          <w:rFonts w:eastAsia="Times New Roman" w:cs="Arial"/>
          <w:szCs w:val="24"/>
        </w:rPr>
        <w:t xml:space="preserve">This Standard Operating Procedure (SOP) supports the Police Service of Scotland, hereafter referred to as Police Scotland </w:t>
      </w:r>
      <w:r w:rsidRPr="00C74539">
        <w:rPr>
          <w:rFonts w:eastAsia="Times New Roman" w:cs="Arial"/>
          <w:color w:val="0000FF"/>
          <w:szCs w:val="24"/>
          <w:u w:val="single"/>
        </w:rPr>
        <w:t>Data Protection Policy</w:t>
      </w:r>
      <w:r w:rsidRPr="00C74539">
        <w:rPr>
          <w:rFonts w:eastAsia="Times New Roman" w:cs="Arial"/>
          <w:szCs w:val="24"/>
        </w:rPr>
        <w:t>.</w:t>
      </w:r>
    </w:p>
    <w:p w14:paraId="2ACD4F4A" w14:textId="77777777" w:rsidR="00C74539" w:rsidRPr="00C74539" w:rsidRDefault="00C74539" w:rsidP="00C74539">
      <w:pPr>
        <w:widowControl w:val="0"/>
        <w:overflowPunct w:val="0"/>
        <w:autoSpaceDE w:val="0"/>
        <w:autoSpaceDN w:val="0"/>
        <w:adjustRightInd w:val="0"/>
        <w:textAlignment w:val="baseline"/>
        <w:rPr>
          <w:rFonts w:eastAsia="Times New Roman" w:cs="Arial"/>
          <w:szCs w:val="24"/>
        </w:rPr>
      </w:pPr>
      <w:r w:rsidRPr="00C74539">
        <w:rPr>
          <w:rFonts w:eastAsia="Times New Roman" w:cs="Arial"/>
          <w:szCs w:val="24"/>
        </w:rPr>
        <w:t>This SOP applies to:</w:t>
      </w:r>
    </w:p>
    <w:p w14:paraId="2167987C" w14:textId="77777777" w:rsidR="00C74539" w:rsidRPr="00C74539" w:rsidRDefault="00C74539" w:rsidP="004C3577">
      <w:pPr>
        <w:widowControl w:val="0"/>
        <w:numPr>
          <w:ilvl w:val="3"/>
          <w:numId w:val="3"/>
        </w:numPr>
        <w:overflowPunct w:val="0"/>
        <w:autoSpaceDE w:val="0"/>
        <w:autoSpaceDN w:val="0"/>
        <w:adjustRightInd w:val="0"/>
        <w:textAlignment w:val="baseline"/>
        <w:rPr>
          <w:rFonts w:eastAsia="Times New Roman" w:cs="Arial"/>
          <w:szCs w:val="24"/>
        </w:rPr>
      </w:pPr>
      <w:r w:rsidRPr="00C74539">
        <w:rPr>
          <w:rFonts w:eastAsia="Times New Roman" w:cs="Arial"/>
          <w:szCs w:val="24"/>
        </w:rPr>
        <w:t>Officers and staff within Police Scotland.</w:t>
      </w:r>
    </w:p>
    <w:p w14:paraId="1E519548" w14:textId="77777777" w:rsidR="00C74539" w:rsidRPr="00C74539" w:rsidRDefault="00C74539" w:rsidP="004C3577">
      <w:pPr>
        <w:widowControl w:val="0"/>
        <w:numPr>
          <w:ilvl w:val="0"/>
          <w:numId w:val="3"/>
        </w:numPr>
        <w:overflowPunct w:val="0"/>
        <w:autoSpaceDE w:val="0"/>
        <w:autoSpaceDN w:val="0"/>
        <w:adjustRightInd w:val="0"/>
        <w:ind w:left="714" w:hanging="357"/>
        <w:contextualSpacing/>
        <w:textAlignment w:val="baseline"/>
        <w:rPr>
          <w:rFonts w:eastAsia="Times New Roman" w:cs="Arial"/>
          <w:szCs w:val="24"/>
        </w:rPr>
      </w:pPr>
      <w:r w:rsidRPr="00C74539">
        <w:rPr>
          <w:rFonts w:eastAsia="Times New Roman" w:cs="Arial"/>
          <w:szCs w:val="24"/>
        </w:rPr>
        <w:t>Special constables.</w:t>
      </w:r>
    </w:p>
    <w:p w14:paraId="3AD8A287" w14:textId="77777777" w:rsidR="00C74539" w:rsidRPr="00C74539" w:rsidRDefault="00C74539" w:rsidP="004C3577">
      <w:pPr>
        <w:widowControl w:val="0"/>
        <w:numPr>
          <w:ilvl w:val="0"/>
          <w:numId w:val="3"/>
        </w:numPr>
        <w:overflowPunct w:val="0"/>
        <w:autoSpaceDE w:val="0"/>
        <w:autoSpaceDN w:val="0"/>
        <w:adjustRightInd w:val="0"/>
        <w:ind w:left="714" w:hanging="357"/>
        <w:contextualSpacing/>
        <w:textAlignment w:val="baseline"/>
        <w:rPr>
          <w:rFonts w:eastAsia="Times New Roman" w:cs="Arial"/>
          <w:szCs w:val="24"/>
        </w:rPr>
      </w:pPr>
      <w:r w:rsidRPr="00C74539">
        <w:rPr>
          <w:rFonts w:eastAsia="Times New Roman" w:cs="Arial"/>
          <w:szCs w:val="24"/>
        </w:rPr>
        <w:t>Temporary staff.</w:t>
      </w:r>
    </w:p>
    <w:p w14:paraId="23DFF7CD" w14:textId="77777777" w:rsidR="00C74539" w:rsidRPr="00C74539" w:rsidRDefault="00C74539" w:rsidP="004C3577">
      <w:pPr>
        <w:widowControl w:val="0"/>
        <w:numPr>
          <w:ilvl w:val="0"/>
          <w:numId w:val="3"/>
        </w:numPr>
        <w:overflowPunct w:val="0"/>
        <w:autoSpaceDE w:val="0"/>
        <w:autoSpaceDN w:val="0"/>
        <w:adjustRightInd w:val="0"/>
        <w:ind w:left="714" w:hanging="357"/>
        <w:contextualSpacing/>
        <w:textAlignment w:val="baseline"/>
        <w:rPr>
          <w:rFonts w:eastAsia="Times New Roman" w:cs="Arial"/>
          <w:szCs w:val="24"/>
        </w:rPr>
      </w:pPr>
      <w:r w:rsidRPr="00C74539">
        <w:rPr>
          <w:rFonts w:eastAsia="Times New Roman" w:cs="Arial"/>
          <w:szCs w:val="24"/>
        </w:rPr>
        <w:t>Agency workers.</w:t>
      </w:r>
    </w:p>
    <w:p w14:paraId="62323662" w14:textId="77777777" w:rsidR="00C74539" w:rsidRPr="00C74539" w:rsidRDefault="00C74539" w:rsidP="004C3577">
      <w:pPr>
        <w:widowControl w:val="0"/>
        <w:numPr>
          <w:ilvl w:val="0"/>
          <w:numId w:val="3"/>
        </w:numPr>
        <w:overflowPunct w:val="0"/>
        <w:autoSpaceDE w:val="0"/>
        <w:autoSpaceDN w:val="0"/>
        <w:adjustRightInd w:val="0"/>
        <w:ind w:left="714" w:hanging="357"/>
        <w:contextualSpacing/>
        <w:textAlignment w:val="baseline"/>
        <w:rPr>
          <w:rFonts w:eastAsia="Times New Roman" w:cs="Arial"/>
          <w:szCs w:val="24"/>
        </w:rPr>
      </w:pPr>
      <w:r w:rsidRPr="00C74539">
        <w:rPr>
          <w:rFonts w:eastAsia="Times New Roman" w:cs="Arial"/>
          <w:szCs w:val="24"/>
        </w:rPr>
        <w:t xml:space="preserve">Data processors of Police Scotland’s information </w:t>
      </w:r>
    </w:p>
    <w:p w14:paraId="3B5D2F4F" w14:textId="77777777" w:rsidR="00C74539" w:rsidRPr="00C74539" w:rsidRDefault="00C74539" w:rsidP="004C3577">
      <w:pPr>
        <w:widowControl w:val="0"/>
        <w:numPr>
          <w:ilvl w:val="0"/>
          <w:numId w:val="3"/>
        </w:numPr>
        <w:overflowPunct w:val="0"/>
        <w:autoSpaceDE w:val="0"/>
        <w:autoSpaceDN w:val="0"/>
        <w:adjustRightInd w:val="0"/>
        <w:ind w:left="714" w:hanging="357"/>
        <w:contextualSpacing/>
        <w:textAlignment w:val="baseline"/>
        <w:rPr>
          <w:rFonts w:eastAsia="Times New Roman" w:cs="Arial"/>
          <w:szCs w:val="24"/>
        </w:rPr>
      </w:pPr>
      <w:r w:rsidRPr="00C74539">
        <w:rPr>
          <w:rFonts w:eastAsia="Times New Roman" w:cs="Arial"/>
          <w:szCs w:val="24"/>
        </w:rPr>
        <w:t>Other individuals with authority to access Police Scotland information and information systems e.g. external project workers.</w:t>
      </w:r>
    </w:p>
    <w:p w14:paraId="00ECBE26" w14:textId="77777777" w:rsidR="00C74539" w:rsidRPr="00C74539" w:rsidRDefault="00C74539" w:rsidP="00C74539">
      <w:pPr>
        <w:widowControl w:val="0"/>
        <w:overflowPunct w:val="0"/>
        <w:autoSpaceDE w:val="0"/>
        <w:autoSpaceDN w:val="0"/>
        <w:adjustRightInd w:val="0"/>
        <w:textAlignment w:val="baseline"/>
        <w:rPr>
          <w:rFonts w:eastAsia="Times New Roman" w:cs="Arial"/>
          <w:szCs w:val="24"/>
        </w:rPr>
      </w:pPr>
      <w:r w:rsidRPr="00C74539">
        <w:rPr>
          <w:rFonts w:eastAsia="Times New Roman" w:cs="Arial"/>
          <w:szCs w:val="24"/>
        </w:rPr>
        <w:t>Collectively these will be referred to as employees throughout this SOP.</w:t>
      </w:r>
    </w:p>
    <w:p w14:paraId="1547601E" w14:textId="77777777" w:rsidR="00C74539" w:rsidRPr="00C74539" w:rsidRDefault="00C74539" w:rsidP="00C74539">
      <w:pPr>
        <w:widowControl w:val="0"/>
        <w:overflowPunct w:val="0"/>
        <w:autoSpaceDE w:val="0"/>
        <w:autoSpaceDN w:val="0"/>
        <w:adjustRightInd w:val="0"/>
        <w:textAlignment w:val="baseline"/>
        <w:rPr>
          <w:rFonts w:eastAsia="Times New Roman" w:cs="Arial"/>
          <w:szCs w:val="24"/>
        </w:rPr>
      </w:pPr>
      <w:r w:rsidRPr="00C74539">
        <w:rPr>
          <w:rFonts w:eastAsia="Times New Roman" w:cs="Arial"/>
          <w:szCs w:val="24"/>
        </w:rPr>
        <w:t xml:space="preserve">This SOP provides all employees with: </w:t>
      </w:r>
    </w:p>
    <w:p w14:paraId="6E3F2E19" w14:textId="77777777" w:rsidR="00C74539" w:rsidRPr="00C74539" w:rsidRDefault="00C74539" w:rsidP="004C3577">
      <w:pPr>
        <w:widowControl w:val="0"/>
        <w:numPr>
          <w:ilvl w:val="0"/>
          <w:numId w:val="4"/>
        </w:numPr>
        <w:overflowPunct w:val="0"/>
        <w:autoSpaceDE w:val="0"/>
        <w:autoSpaceDN w:val="0"/>
        <w:adjustRightInd w:val="0"/>
        <w:ind w:left="714" w:hanging="357"/>
        <w:textAlignment w:val="baseline"/>
        <w:rPr>
          <w:rFonts w:eastAsia="Times New Roman" w:cs="Arial"/>
          <w:szCs w:val="24"/>
        </w:rPr>
      </w:pPr>
      <w:r w:rsidRPr="00C74539">
        <w:rPr>
          <w:rFonts w:eastAsia="Times New Roman" w:cs="Arial"/>
          <w:szCs w:val="24"/>
        </w:rPr>
        <w:t xml:space="preserve">Information regarding Data Protection (DP) legislation, </w:t>
      </w:r>
    </w:p>
    <w:p w14:paraId="08D85A34" w14:textId="77777777" w:rsidR="00C74539" w:rsidRPr="00C74539" w:rsidRDefault="00C74539" w:rsidP="004C3577">
      <w:pPr>
        <w:widowControl w:val="0"/>
        <w:numPr>
          <w:ilvl w:val="0"/>
          <w:numId w:val="4"/>
        </w:numPr>
        <w:overflowPunct w:val="0"/>
        <w:autoSpaceDE w:val="0"/>
        <w:autoSpaceDN w:val="0"/>
        <w:adjustRightInd w:val="0"/>
        <w:ind w:left="714" w:hanging="357"/>
        <w:contextualSpacing/>
        <w:textAlignment w:val="baseline"/>
        <w:rPr>
          <w:rFonts w:eastAsia="Times New Roman" w:cs="Arial"/>
          <w:szCs w:val="24"/>
        </w:rPr>
      </w:pPr>
      <w:r w:rsidRPr="00C74539">
        <w:rPr>
          <w:rFonts w:eastAsia="Times New Roman" w:cs="Arial"/>
          <w:szCs w:val="24"/>
        </w:rPr>
        <w:t>Clear guidance on the correct use of personal data.</w:t>
      </w:r>
    </w:p>
    <w:p w14:paraId="6F0921FA" w14:textId="77777777" w:rsidR="00C74539" w:rsidRPr="00C74539" w:rsidRDefault="00C74539" w:rsidP="004C3577">
      <w:pPr>
        <w:widowControl w:val="0"/>
        <w:numPr>
          <w:ilvl w:val="0"/>
          <w:numId w:val="4"/>
        </w:numPr>
        <w:overflowPunct w:val="0"/>
        <w:autoSpaceDE w:val="0"/>
        <w:autoSpaceDN w:val="0"/>
        <w:adjustRightInd w:val="0"/>
        <w:ind w:left="714" w:hanging="357"/>
        <w:contextualSpacing/>
        <w:textAlignment w:val="baseline"/>
        <w:rPr>
          <w:rFonts w:eastAsia="Times New Roman" w:cs="Arial"/>
          <w:szCs w:val="24"/>
        </w:rPr>
      </w:pPr>
      <w:r w:rsidRPr="00C74539">
        <w:rPr>
          <w:rFonts w:eastAsia="Times New Roman" w:cs="Arial"/>
          <w:szCs w:val="24"/>
        </w:rPr>
        <w:t xml:space="preserve">Examples of misuse, and </w:t>
      </w:r>
    </w:p>
    <w:p w14:paraId="1B835F6A" w14:textId="4C2E2E69" w:rsidR="00C74539" w:rsidRPr="00C74539" w:rsidRDefault="00C74539" w:rsidP="004C3577">
      <w:pPr>
        <w:widowControl w:val="0"/>
        <w:numPr>
          <w:ilvl w:val="0"/>
          <w:numId w:val="4"/>
        </w:numPr>
        <w:overflowPunct w:val="0"/>
        <w:autoSpaceDE w:val="0"/>
        <w:autoSpaceDN w:val="0"/>
        <w:adjustRightInd w:val="0"/>
        <w:ind w:left="714" w:hanging="357"/>
        <w:contextualSpacing/>
        <w:textAlignment w:val="baseline"/>
        <w:rPr>
          <w:rFonts w:eastAsia="Times New Roman" w:cs="Arial"/>
          <w:szCs w:val="24"/>
        </w:rPr>
      </w:pPr>
      <w:r w:rsidRPr="00C74539">
        <w:rPr>
          <w:rFonts w:eastAsia="Times New Roman" w:cs="Arial"/>
          <w:szCs w:val="24"/>
        </w:rPr>
        <w:t>Details of the criminal offences under DP legislation that can be committed when personal data are misused.</w:t>
      </w:r>
    </w:p>
    <w:p w14:paraId="50E3278B" w14:textId="60B59394" w:rsidR="004546DC" w:rsidRDefault="00C74539" w:rsidP="004C3577">
      <w:pPr>
        <w:pStyle w:val="Heading2"/>
        <w:numPr>
          <w:ilvl w:val="0"/>
          <w:numId w:val="2"/>
        </w:numPr>
      </w:pPr>
      <w:bookmarkStart w:id="6" w:name="_Toc203466121"/>
      <w:bookmarkStart w:id="7" w:name="_Toc204850181"/>
      <w:r>
        <w:t>Training in Data Protection</w:t>
      </w:r>
      <w:bookmarkEnd w:id="6"/>
      <w:bookmarkEnd w:id="7"/>
    </w:p>
    <w:p w14:paraId="0745B828" w14:textId="77777777" w:rsidR="00C74539" w:rsidRDefault="00C74539" w:rsidP="00C74539">
      <w:r>
        <w:t xml:space="preserve">All employees must receive mandatory induction training </w:t>
      </w:r>
      <w:r w:rsidRPr="00DC0D29">
        <w:rPr>
          <w:bCs/>
        </w:rPr>
        <w:t>before</w:t>
      </w:r>
      <w:r>
        <w:t xml:space="preserve"> being given access to information and Information Communications Technology (ICT) systems.</w:t>
      </w:r>
    </w:p>
    <w:p w14:paraId="18B685F7" w14:textId="77777777" w:rsidR="00C74539" w:rsidRDefault="00C74539" w:rsidP="00C74539">
      <w:r>
        <w:t>Anyone failing to attend the mandatory induction training, will not be provided with access to Police Scotland’s information and ICT systems.</w:t>
      </w:r>
    </w:p>
    <w:p w14:paraId="5751B030" w14:textId="41B4481E" w:rsidR="00C74539" w:rsidRPr="00C74539" w:rsidRDefault="00C74539" w:rsidP="00C74539">
      <w:r w:rsidRPr="00DC0D29">
        <w:t>All employees must successfully complete the DP refresher training course annually. The course is delivered in role-specific modules and is available on the Police Scotland Moodle training application. Officers and staff must select the module appropriate for the role that they undertake at the time of completion.</w:t>
      </w:r>
    </w:p>
    <w:p w14:paraId="0241655C" w14:textId="1FEA1ED8" w:rsidR="00AA7CEC" w:rsidRDefault="00C74539" w:rsidP="004C3577">
      <w:pPr>
        <w:pStyle w:val="Heading2"/>
        <w:numPr>
          <w:ilvl w:val="0"/>
          <w:numId w:val="2"/>
        </w:numPr>
      </w:pPr>
      <w:bookmarkStart w:id="8" w:name="_Toc203466122"/>
      <w:bookmarkStart w:id="9" w:name="_Toc204850182"/>
      <w:bookmarkStart w:id="10" w:name="_Toc394566505"/>
      <w:r>
        <w:lastRenderedPageBreak/>
        <w:t>Data Protection Legislation</w:t>
      </w:r>
      <w:bookmarkEnd w:id="8"/>
      <w:bookmarkEnd w:id="9"/>
    </w:p>
    <w:p w14:paraId="272CCB50" w14:textId="77777777" w:rsidR="00C74539" w:rsidRPr="00C74539" w:rsidRDefault="00C74539" w:rsidP="00C74539">
      <w:pPr>
        <w:widowControl w:val="0"/>
        <w:overflowPunct w:val="0"/>
        <w:autoSpaceDE w:val="0"/>
        <w:autoSpaceDN w:val="0"/>
        <w:adjustRightInd w:val="0"/>
        <w:ind w:left="709" w:hanging="709"/>
        <w:textAlignment w:val="baseline"/>
        <w:rPr>
          <w:rFonts w:eastAsia="Times New Roman" w:cs="Arial"/>
          <w:szCs w:val="24"/>
        </w:rPr>
      </w:pPr>
      <w:r w:rsidRPr="00C74539">
        <w:rPr>
          <w:rFonts w:eastAsia="Times New Roman" w:cs="Arial"/>
          <w:szCs w:val="24"/>
        </w:rPr>
        <w:t>The term ‘data protection legislation’ means:</w:t>
      </w:r>
    </w:p>
    <w:p w14:paraId="7C808F9B" w14:textId="200360F0" w:rsidR="00C74539" w:rsidRPr="00C74539" w:rsidRDefault="00C74539" w:rsidP="004C3577">
      <w:pPr>
        <w:widowControl w:val="0"/>
        <w:numPr>
          <w:ilvl w:val="0"/>
          <w:numId w:val="5"/>
        </w:numPr>
        <w:overflowPunct w:val="0"/>
        <w:autoSpaceDE w:val="0"/>
        <w:autoSpaceDN w:val="0"/>
        <w:adjustRightInd w:val="0"/>
        <w:ind w:left="714" w:hanging="357"/>
        <w:textAlignment w:val="baseline"/>
        <w:rPr>
          <w:rFonts w:eastAsia="Times New Roman" w:cs="Arial"/>
          <w:szCs w:val="24"/>
        </w:rPr>
      </w:pPr>
      <w:r w:rsidRPr="00C74539">
        <w:rPr>
          <w:rFonts w:eastAsia="Times New Roman" w:cs="Arial"/>
          <w:color w:val="0000FF"/>
          <w:szCs w:val="24"/>
          <w:u w:val="single"/>
        </w:rPr>
        <w:t>General Data Protection Regulation (GDPR)</w:t>
      </w:r>
      <w:r w:rsidRPr="00C74539">
        <w:rPr>
          <w:rFonts w:eastAsia="Times New Roman" w:cs="Arial"/>
          <w:szCs w:val="24"/>
        </w:rPr>
        <w:t xml:space="preserve"> and its recitals;</w:t>
      </w:r>
    </w:p>
    <w:p w14:paraId="6B121B73" w14:textId="2DDDE948" w:rsidR="00C74539" w:rsidRPr="00C74539" w:rsidRDefault="00C74539" w:rsidP="004C3577">
      <w:pPr>
        <w:widowControl w:val="0"/>
        <w:numPr>
          <w:ilvl w:val="0"/>
          <w:numId w:val="5"/>
        </w:numPr>
        <w:overflowPunct w:val="0"/>
        <w:autoSpaceDE w:val="0"/>
        <w:autoSpaceDN w:val="0"/>
        <w:adjustRightInd w:val="0"/>
        <w:ind w:left="714" w:hanging="357"/>
        <w:contextualSpacing/>
        <w:textAlignment w:val="baseline"/>
        <w:rPr>
          <w:rFonts w:eastAsia="Times New Roman" w:cs="Arial"/>
          <w:szCs w:val="24"/>
        </w:rPr>
      </w:pPr>
      <w:r w:rsidRPr="00C74539">
        <w:rPr>
          <w:rFonts w:eastAsia="Times New Roman" w:cs="Arial"/>
          <w:color w:val="0000FF"/>
          <w:szCs w:val="24"/>
          <w:u w:val="single"/>
        </w:rPr>
        <w:t>Data Protection Act 2018</w:t>
      </w:r>
      <w:r w:rsidRPr="00C74539">
        <w:rPr>
          <w:rFonts w:eastAsia="Times New Roman" w:cs="Arial"/>
          <w:szCs w:val="24"/>
        </w:rPr>
        <w:t xml:space="preserve"> (the Act); and</w:t>
      </w:r>
    </w:p>
    <w:p w14:paraId="30B40B95" w14:textId="77777777" w:rsidR="00C74539" w:rsidRPr="00C74539" w:rsidRDefault="00C74539" w:rsidP="004C3577">
      <w:pPr>
        <w:widowControl w:val="0"/>
        <w:numPr>
          <w:ilvl w:val="0"/>
          <w:numId w:val="5"/>
        </w:numPr>
        <w:overflowPunct w:val="0"/>
        <w:autoSpaceDE w:val="0"/>
        <w:autoSpaceDN w:val="0"/>
        <w:adjustRightInd w:val="0"/>
        <w:ind w:left="714" w:hanging="357"/>
        <w:contextualSpacing/>
        <w:textAlignment w:val="baseline"/>
        <w:rPr>
          <w:rFonts w:eastAsia="Times New Roman" w:cs="Arial"/>
          <w:szCs w:val="24"/>
        </w:rPr>
      </w:pPr>
      <w:r w:rsidRPr="00C74539">
        <w:rPr>
          <w:rFonts w:eastAsia="Times New Roman" w:cs="Arial"/>
          <w:szCs w:val="24"/>
        </w:rPr>
        <w:t>Any regulations made under the Act.</w:t>
      </w:r>
    </w:p>
    <w:p w14:paraId="062D0FE6" w14:textId="6A3B6E15" w:rsidR="00C74539" w:rsidRPr="00C74539" w:rsidRDefault="00C74539" w:rsidP="00C74539">
      <w:pPr>
        <w:widowControl w:val="0"/>
        <w:overflowPunct w:val="0"/>
        <w:autoSpaceDE w:val="0"/>
        <w:autoSpaceDN w:val="0"/>
        <w:adjustRightInd w:val="0"/>
        <w:textAlignment w:val="baseline"/>
        <w:rPr>
          <w:rFonts w:eastAsia="Times New Roman" w:cs="Arial"/>
          <w:szCs w:val="24"/>
        </w:rPr>
      </w:pPr>
      <w:r w:rsidRPr="00C74539">
        <w:rPr>
          <w:rFonts w:eastAsia="Times New Roman" w:cs="Arial"/>
          <w:szCs w:val="24"/>
        </w:rPr>
        <w:t xml:space="preserve">The </w:t>
      </w:r>
      <w:r w:rsidRPr="00C74539">
        <w:rPr>
          <w:rFonts w:eastAsia="Times New Roman" w:cs="Arial"/>
          <w:color w:val="0000FF"/>
          <w:szCs w:val="24"/>
          <w:u w:val="single"/>
        </w:rPr>
        <w:t>GDPR</w:t>
      </w:r>
      <w:r w:rsidRPr="00C74539">
        <w:rPr>
          <w:rFonts w:eastAsia="Times New Roman" w:cs="Arial"/>
          <w:szCs w:val="24"/>
        </w:rPr>
        <w:t xml:space="preserve"> which was a European Union (EU) regulation, was incorporated into UK legislation following Brexit. It has been amended for UK use and named </w:t>
      </w:r>
      <w:r w:rsidRPr="00C74539">
        <w:rPr>
          <w:rFonts w:eastAsia="Times New Roman" w:cs="Arial"/>
          <w:color w:val="0000FF"/>
          <w:szCs w:val="24"/>
          <w:u w:val="single"/>
        </w:rPr>
        <w:t>UK GDPR.</w:t>
      </w:r>
      <w:r w:rsidRPr="00C74539">
        <w:rPr>
          <w:rFonts w:eastAsia="Times New Roman" w:cs="Arial"/>
          <w:szCs w:val="24"/>
        </w:rPr>
        <w:t xml:space="preserve"> While the Articles may have changed, the recitals at the beginning have not and therefore these should be taken as guidance only. The Act has also been amended to take account of the fact the UK is no longer part of the EU, but the name will not change. </w:t>
      </w:r>
    </w:p>
    <w:p w14:paraId="09C7A9F3" w14:textId="77777777" w:rsidR="00C74539" w:rsidRPr="00C74539" w:rsidRDefault="00C74539" w:rsidP="00C74539">
      <w:pPr>
        <w:widowControl w:val="0"/>
        <w:overflowPunct w:val="0"/>
        <w:autoSpaceDE w:val="0"/>
        <w:autoSpaceDN w:val="0"/>
        <w:adjustRightInd w:val="0"/>
        <w:textAlignment w:val="baseline"/>
        <w:rPr>
          <w:rFonts w:eastAsia="Times New Roman" w:cs="Arial"/>
          <w:szCs w:val="24"/>
        </w:rPr>
      </w:pPr>
      <w:r w:rsidRPr="00C74539">
        <w:rPr>
          <w:rFonts w:eastAsia="Times New Roman" w:cs="Arial"/>
          <w:szCs w:val="24"/>
        </w:rPr>
        <w:t>Police Scotland must apply both the UK GDPR and the Act in the appropriate circumstances.</w:t>
      </w:r>
    </w:p>
    <w:p w14:paraId="4BCF7604" w14:textId="77777777" w:rsidR="00C74539" w:rsidRPr="00C74539" w:rsidRDefault="00C74539" w:rsidP="00C74539">
      <w:pPr>
        <w:widowControl w:val="0"/>
        <w:overflowPunct w:val="0"/>
        <w:autoSpaceDE w:val="0"/>
        <w:autoSpaceDN w:val="0"/>
        <w:adjustRightInd w:val="0"/>
        <w:textAlignment w:val="baseline"/>
        <w:rPr>
          <w:rFonts w:eastAsia="Times New Roman" w:cs="Arial"/>
          <w:szCs w:val="24"/>
        </w:rPr>
      </w:pPr>
      <w:r w:rsidRPr="00C74539">
        <w:rPr>
          <w:rFonts w:eastAsia="Times New Roman" w:cs="Arial"/>
          <w:szCs w:val="24"/>
        </w:rPr>
        <w:t xml:space="preserve">UK GDPR deals with the protection of individuals (data subjects) with regards to the </w:t>
      </w:r>
      <w:r w:rsidRPr="00C74539">
        <w:rPr>
          <w:rFonts w:eastAsia="Times New Roman" w:cs="Arial"/>
          <w:bCs/>
          <w:szCs w:val="24"/>
        </w:rPr>
        <w:t>general</w:t>
      </w:r>
      <w:r w:rsidRPr="00C74539">
        <w:rPr>
          <w:rFonts w:eastAsia="Times New Roman" w:cs="Arial"/>
          <w:szCs w:val="24"/>
        </w:rPr>
        <w:t xml:space="preserve"> processing of personal data, which for ease of reference means it must be applied when dealing with personal data processed for non-law enforcement purposes. (The definitions of processing, law enforcement purposes and other data protection terms are provided below.) </w:t>
      </w:r>
    </w:p>
    <w:p w14:paraId="70EF4DC5" w14:textId="77777777" w:rsidR="00C74539" w:rsidRPr="00C74539" w:rsidRDefault="00C74539" w:rsidP="00C74539">
      <w:pPr>
        <w:widowControl w:val="0"/>
        <w:overflowPunct w:val="0"/>
        <w:autoSpaceDE w:val="0"/>
        <w:autoSpaceDN w:val="0"/>
        <w:adjustRightInd w:val="0"/>
        <w:textAlignment w:val="baseline"/>
        <w:rPr>
          <w:rFonts w:eastAsia="Times New Roman" w:cs="Arial"/>
          <w:szCs w:val="24"/>
        </w:rPr>
      </w:pPr>
      <w:r w:rsidRPr="00C74539">
        <w:rPr>
          <w:rFonts w:eastAsia="Times New Roman" w:cs="Arial"/>
          <w:szCs w:val="24"/>
        </w:rPr>
        <w:t>UK GDPR applies for example, when dealing with the personal data of employees, disclosure of information to Social Work Departments by Concern Hubs and obtaining medical details during the custody process. General processing also applies to the processing of criminal convictions for non-law enforcement purposes, e.g. Vetting.</w:t>
      </w:r>
    </w:p>
    <w:p w14:paraId="27876200" w14:textId="77777777" w:rsidR="00C74539" w:rsidRPr="00C74539" w:rsidRDefault="00C74539" w:rsidP="00C74539">
      <w:pPr>
        <w:widowControl w:val="0"/>
        <w:overflowPunct w:val="0"/>
        <w:autoSpaceDE w:val="0"/>
        <w:autoSpaceDN w:val="0"/>
        <w:adjustRightInd w:val="0"/>
        <w:textAlignment w:val="baseline"/>
        <w:rPr>
          <w:rFonts w:eastAsia="Times New Roman" w:cs="Arial"/>
          <w:szCs w:val="24"/>
        </w:rPr>
      </w:pPr>
      <w:r w:rsidRPr="00C74539">
        <w:rPr>
          <w:rFonts w:eastAsia="Times New Roman" w:cs="Arial"/>
          <w:szCs w:val="24"/>
        </w:rPr>
        <w:t xml:space="preserve">The </w:t>
      </w:r>
      <w:proofErr w:type="gramStart"/>
      <w:r w:rsidRPr="00C74539">
        <w:rPr>
          <w:rFonts w:eastAsia="Times New Roman" w:cs="Arial"/>
          <w:szCs w:val="24"/>
        </w:rPr>
        <w:t>Act</w:t>
      </w:r>
      <w:proofErr w:type="gramEnd"/>
      <w:r w:rsidRPr="00C74539">
        <w:rPr>
          <w:rFonts w:eastAsia="Times New Roman" w:cs="Arial"/>
          <w:szCs w:val="24"/>
        </w:rPr>
        <w:t xml:space="preserve"> however, deals with both general and law enforcement processing. </w:t>
      </w:r>
    </w:p>
    <w:p w14:paraId="0FC74EFA" w14:textId="26BF90F3" w:rsidR="00C74539" w:rsidRPr="00C74539" w:rsidRDefault="00C74539" w:rsidP="004C3577">
      <w:pPr>
        <w:widowControl w:val="0"/>
        <w:numPr>
          <w:ilvl w:val="0"/>
          <w:numId w:val="6"/>
        </w:numPr>
        <w:overflowPunct w:val="0"/>
        <w:autoSpaceDE w:val="0"/>
        <w:autoSpaceDN w:val="0"/>
        <w:adjustRightInd w:val="0"/>
        <w:ind w:left="714" w:hanging="357"/>
        <w:textAlignment w:val="baseline"/>
        <w:rPr>
          <w:rFonts w:eastAsia="Times New Roman" w:cs="Arial"/>
          <w:szCs w:val="24"/>
        </w:rPr>
      </w:pPr>
      <w:r w:rsidRPr="00C74539">
        <w:rPr>
          <w:rFonts w:eastAsia="Times New Roman" w:cs="Arial"/>
          <w:color w:val="0000FF"/>
          <w:szCs w:val="24"/>
          <w:u w:val="single"/>
        </w:rPr>
        <w:t>Part 1</w:t>
      </w:r>
      <w:r w:rsidRPr="00C74539">
        <w:rPr>
          <w:rFonts w:eastAsia="Times New Roman" w:cs="Arial"/>
          <w:szCs w:val="24"/>
        </w:rPr>
        <w:t xml:space="preserve"> provides an overview of the Act, and definitions of some terms used in the Act. </w:t>
      </w:r>
    </w:p>
    <w:p w14:paraId="6C2D9067" w14:textId="4B44F300" w:rsidR="00C74539" w:rsidRPr="00C74539" w:rsidRDefault="00C74539" w:rsidP="004C3577">
      <w:pPr>
        <w:widowControl w:val="0"/>
        <w:numPr>
          <w:ilvl w:val="0"/>
          <w:numId w:val="6"/>
        </w:numPr>
        <w:overflowPunct w:val="0"/>
        <w:autoSpaceDE w:val="0"/>
        <w:autoSpaceDN w:val="0"/>
        <w:adjustRightInd w:val="0"/>
        <w:ind w:left="714" w:hanging="357"/>
        <w:contextualSpacing/>
        <w:textAlignment w:val="baseline"/>
        <w:rPr>
          <w:rFonts w:eastAsia="Times New Roman" w:cs="Arial"/>
          <w:szCs w:val="24"/>
        </w:rPr>
      </w:pPr>
      <w:proofErr w:type="gramStart"/>
      <w:r w:rsidRPr="00C74539">
        <w:rPr>
          <w:rFonts w:eastAsia="Times New Roman" w:cs="Arial"/>
          <w:color w:val="0000FF"/>
          <w:szCs w:val="24"/>
          <w:u w:val="single"/>
        </w:rPr>
        <w:t>Part 2</w:t>
      </w:r>
      <w:r w:rsidRPr="00C74539">
        <w:rPr>
          <w:rFonts w:eastAsia="Times New Roman" w:cs="Arial"/>
          <w:szCs w:val="24"/>
        </w:rPr>
        <w:t>,</w:t>
      </w:r>
      <w:proofErr w:type="gramEnd"/>
      <w:r w:rsidRPr="00C74539">
        <w:rPr>
          <w:rFonts w:eastAsia="Times New Roman" w:cs="Arial"/>
          <w:szCs w:val="24"/>
        </w:rPr>
        <w:t xml:space="preserve"> supplements the UK GDPR with further definitions, exemptions and conditions to be satisfied. </w:t>
      </w:r>
    </w:p>
    <w:p w14:paraId="2B09B97A" w14:textId="5CE18BEC" w:rsidR="00C74539" w:rsidRPr="00C74539" w:rsidRDefault="00C74539" w:rsidP="00C74539">
      <w:pPr>
        <w:widowControl w:val="0"/>
        <w:overflowPunct w:val="0"/>
        <w:autoSpaceDE w:val="0"/>
        <w:autoSpaceDN w:val="0"/>
        <w:adjustRightInd w:val="0"/>
        <w:textAlignment w:val="baseline"/>
        <w:rPr>
          <w:rFonts w:eastAsia="Times New Roman" w:cs="Arial"/>
          <w:szCs w:val="24"/>
        </w:rPr>
      </w:pPr>
      <w:r w:rsidRPr="00C74539">
        <w:rPr>
          <w:rFonts w:eastAsia="Times New Roman" w:cs="Arial"/>
          <w:szCs w:val="24"/>
        </w:rPr>
        <w:t xml:space="preserve">A number of the Schedules to the Act also apply to general processing, providing further conditions which must be satisfied in certain circumstances, but the most </w:t>
      </w:r>
      <w:r w:rsidRPr="00C74539">
        <w:rPr>
          <w:rFonts w:eastAsia="Times New Roman" w:cs="Arial"/>
          <w:szCs w:val="24"/>
        </w:rPr>
        <w:lastRenderedPageBreak/>
        <w:t xml:space="preserve">commonly applied are </w:t>
      </w:r>
      <w:r w:rsidRPr="00C74539">
        <w:rPr>
          <w:rFonts w:eastAsia="Times New Roman" w:cs="Arial"/>
          <w:color w:val="0000FF"/>
          <w:szCs w:val="24"/>
          <w:u w:val="single"/>
        </w:rPr>
        <w:t>Schedule 1</w:t>
      </w:r>
      <w:r w:rsidRPr="00C74539">
        <w:rPr>
          <w:rFonts w:eastAsia="Times New Roman" w:cs="Arial"/>
          <w:szCs w:val="24"/>
        </w:rPr>
        <w:t xml:space="preserve"> and </w:t>
      </w:r>
      <w:r w:rsidRPr="00C74539">
        <w:rPr>
          <w:rFonts w:eastAsia="Times New Roman" w:cs="Arial"/>
          <w:color w:val="0000FF"/>
          <w:szCs w:val="24"/>
          <w:u w:val="single"/>
        </w:rPr>
        <w:t>Schedule 2</w:t>
      </w:r>
      <w:r w:rsidRPr="00C74539">
        <w:rPr>
          <w:rFonts w:eastAsia="Times New Roman" w:cs="Arial"/>
          <w:szCs w:val="24"/>
        </w:rPr>
        <w:t xml:space="preserve">. Therefore, the UK GDPR cannot be read and applied in isolation. </w:t>
      </w:r>
    </w:p>
    <w:p w14:paraId="2F1D531D" w14:textId="5ABF549B" w:rsidR="00C74539" w:rsidRPr="00C74539" w:rsidRDefault="00C74539" w:rsidP="00C74539">
      <w:r w:rsidRPr="00C74539">
        <w:rPr>
          <w:color w:val="0000FF"/>
          <w:u w:val="single"/>
        </w:rPr>
        <w:t>Part 3</w:t>
      </w:r>
      <w:r w:rsidRPr="00C74539">
        <w:t xml:space="preserve"> of the Act deals with processing for law enforcement purposes. </w:t>
      </w:r>
      <w:r w:rsidRPr="00C74539">
        <w:rPr>
          <w:color w:val="0000FF"/>
          <w:u w:val="single"/>
        </w:rPr>
        <w:t>Schedule 7</w:t>
      </w:r>
      <w:r w:rsidRPr="00C74539">
        <w:t xml:space="preserve"> and </w:t>
      </w:r>
      <w:r w:rsidRPr="00C74539">
        <w:rPr>
          <w:color w:val="0000FF"/>
          <w:u w:val="single"/>
        </w:rPr>
        <w:t>Schedule 8</w:t>
      </w:r>
      <w:r w:rsidRPr="00C74539">
        <w:t xml:space="preserve"> also apply to law enforcement processing.</w:t>
      </w:r>
    </w:p>
    <w:p w14:paraId="3FBEA4C9" w14:textId="019F2119" w:rsidR="00C74539" w:rsidRPr="00C74539" w:rsidRDefault="00C74539" w:rsidP="002D7218">
      <w:pPr>
        <w:pStyle w:val="Heading2"/>
        <w:numPr>
          <w:ilvl w:val="0"/>
          <w:numId w:val="2"/>
        </w:numPr>
      </w:pPr>
      <w:bookmarkStart w:id="11" w:name="_Toc189822226"/>
      <w:bookmarkStart w:id="12" w:name="_Toc203466123"/>
      <w:bookmarkStart w:id="13" w:name="_Toc204850183"/>
      <w:r w:rsidRPr="00C74539">
        <w:t>Definitions under Data Protection Legislation</w:t>
      </w:r>
      <w:bookmarkEnd w:id="11"/>
      <w:bookmarkEnd w:id="12"/>
      <w:bookmarkEnd w:id="13"/>
    </w:p>
    <w:p w14:paraId="0FC499E6" w14:textId="77777777" w:rsidR="00C74539" w:rsidRPr="00C74539" w:rsidRDefault="00C74539" w:rsidP="00C74539">
      <w:pPr>
        <w:ind w:hanging="11"/>
      </w:pPr>
      <w:r w:rsidRPr="00C74539">
        <w:t>All processing of personal data must comply with the relevant parts of DP legislation.</w:t>
      </w:r>
    </w:p>
    <w:p w14:paraId="0450CF18" w14:textId="77777777" w:rsidR="00C74539" w:rsidRPr="00C74539" w:rsidRDefault="00C74539" w:rsidP="00C74539">
      <w:pPr>
        <w:ind w:left="709" w:hanging="709"/>
      </w:pPr>
      <w:r w:rsidRPr="00C74539">
        <w:t>The definitions of commonly used terms in relation to processing are as follows:</w:t>
      </w:r>
    </w:p>
    <w:p w14:paraId="2B258A96" w14:textId="77777777" w:rsidR="00C74539" w:rsidRPr="00C74539" w:rsidRDefault="00C74539" w:rsidP="004C3577">
      <w:pPr>
        <w:widowControl w:val="0"/>
        <w:numPr>
          <w:ilvl w:val="1"/>
          <w:numId w:val="8"/>
        </w:numPr>
        <w:overflowPunct w:val="0"/>
        <w:autoSpaceDE w:val="0"/>
        <w:autoSpaceDN w:val="0"/>
        <w:adjustRightInd w:val="0"/>
        <w:ind w:left="714" w:hanging="357"/>
        <w:contextualSpacing/>
        <w:textAlignment w:val="baseline"/>
        <w:rPr>
          <w:rFonts w:eastAsia="Times New Roman" w:cs="Arial"/>
          <w:bCs/>
          <w:szCs w:val="24"/>
        </w:rPr>
      </w:pPr>
      <w:r w:rsidRPr="00C74539">
        <w:rPr>
          <w:rFonts w:eastAsia="Times New Roman" w:cs="Arial"/>
          <w:bCs/>
          <w:szCs w:val="24"/>
        </w:rPr>
        <w:t>Controller means a person or legal person, public authority, agency or other body which alone or jointly with others, decides the purposes and means of processing of personal data. The Chief Constable is the controller for all personal data processed by Police Scotland.</w:t>
      </w:r>
    </w:p>
    <w:p w14:paraId="5A425F2D" w14:textId="77777777" w:rsidR="00C74539" w:rsidRPr="00C74539" w:rsidRDefault="00C74539" w:rsidP="004C3577">
      <w:pPr>
        <w:widowControl w:val="0"/>
        <w:numPr>
          <w:ilvl w:val="1"/>
          <w:numId w:val="8"/>
        </w:numPr>
        <w:overflowPunct w:val="0"/>
        <w:autoSpaceDE w:val="0"/>
        <w:autoSpaceDN w:val="0"/>
        <w:adjustRightInd w:val="0"/>
        <w:ind w:left="714" w:hanging="357"/>
        <w:contextualSpacing/>
        <w:textAlignment w:val="baseline"/>
        <w:rPr>
          <w:rFonts w:eastAsia="Times New Roman" w:cs="Arial"/>
          <w:bCs/>
          <w:szCs w:val="24"/>
        </w:rPr>
      </w:pPr>
      <w:r w:rsidRPr="00C74539">
        <w:rPr>
          <w:rFonts w:eastAsia="Times New Roman" w:cs="Arial"/>
          <w:bCs/>
          <w:szCs w:val="24"/>
        </w:rPr>
        <w:t>Criminal convictions and offences or Related Security Measures includes personal data relating to:</w:t>
      </w:r>
    </w:p>
    <w:p w14:paraId="3F4A3483" w14:textId="77777777" w:rsidR="00C74539" w:rsidRPr="00C74539" w:rsidRDefault="00C74539" w:rsidP="004C3577">
      <w:pPr>
        <w:widowControl w:val="0"/>
        <w:numPr>
          <w:ilvl w:val="1"/>
          <w:numId w:val="7"/>
        </w:numPr>
        <w:overflowPunct w:val="0"/>
        <w:autoSpaceDE w:val="0"/>
        <w:autoSpaceDN w:val="0"/>
        <w:adjustRightInd w:val="0"/>
        <w:ind w:left="1434" w:hanging="357"/>
        <w:contextualSpacing/>
        <w:textAlignment w:val="baseline"/>
        <w:rPr>
          <w:rFonts w:eastAsia="Times New Roman" w:cs="Arial"/>
          <w:bCs/>
          <w:szCs w:val="24"/>
        </w:rPr>
      </w:pPr>
      <w:r w:rsidRPr="00C74539">
        <w:rPr>
          <w:rFonts w:eastAsia="Times New Roman" w:cs="Arial"/>
          <w:bCs/>
          <w:szCs w:val="24"/>
        </w:rPr>
        <w:t>the alleged commission of offences by the data subject, or</w:t>
      </w:r>
    </w:p>
    <w:p w14:paraId="1CCD6666" w14:textId="77777777" w:rsidR="00C74539" w:rsidRPr="00C74539" w:rsidRDefault="00C74539" w:rsidP="004C3577">
      <w:pPr>
        <w:widowControl w:val="0"/>
        <w:numPr>
          <w:ilvl w:val="1"/>
          <w:numId w:val="7"/>
        </w:numPr>
        <w:overflowPunct w:val="0"/>
        <w:autoSpaceDE w:val="0"/>
        <w:autoSpaceDN w:val="0"/>
        <w:adjustRightInd w:val="0"/>
        <w:ind w:left="1434" w:hanging="357"/>
        <w:contextualSpacing/>
        <w:textAlignment w:val="baseline"/>
        <w:rPr>
          <w:rFonts w:eastAsia="Times New Roman" w:cs="Arial"/>
          <w:bCs/>
          <w:szCs w:val="24"/>
        </w:rPr>
      </w:pPr>
      <w:r w:rsidRPr="00C74539">
        <w:rPr>
          <w:rFonts w:eastAsia="Times New Roman" w:cs="Arial"/>
          <w:bCs/>
          <w:szCs w:val="24"/>
        </w:rPr>
        <w:t>proceedings for an offence committed or alleged to have been committed by the data subject, or the disposal of such proceedings, including sentencing.</w:t>
      </w:r>
    </w:p>
    <w:p w14:paraId="0EDE249C" w14:textId="77777777" w:rsidR="00C74539" w:rsidRPr="00C74539" w:rsidRDefault="00C74539" w:rsidP="004C3577">
      <w:pPr>
        <w:widowControl w:val="0"/>
        <w:numPr>
          <w:ilvl w:val="1"/>
          <w:numId w:val="8"/>
        </w:numPr>
        <w:overflowPunct w:val="0"/>
        <w:autoSpaceDE w:val="0"/>
        <w:autoSpaceDN w:val="0"/>
        <w:adjustRightInd w:val="0"/>
        <w:ind w:left="714" w:hanging="357"/>
        <w:contextualSpacing/>
        <w:textAlignment w:val="baseline"/>
        <w:rPr>
          <w:rFonts w:eastAsia="Times New Roman" w:cs="Arial"/>
          <w:bCs/>
          <w:szCs w:val="24"/>
        </w:rPr>
      </w:pPr>
      <w:r w:rsidRPr="00C74539">
        <w:rPr>
          <w:rFonts w:eastAsia="Times New Roman" w:cs="Arial"/>
          <w:bCs/>
          <w:szCs w:val="24"/>
        </w:rPr>
        <w:t>Data subject means the identified or identifiable living individual to whom personal data relates.</w:t>
      </w:r>
    </w:p>
    <w:p w14:paraId="7B2F2812" w14:textId="77777777" w:rsidR="00C74539" w:rsidRPr="00C74539" w:rsidRDefault="00C74539" w:rsidP="004C3577">
      <w:pPr>
        <w:widowControl w:val="0"/>
        <w:numPr>
          <w:ilvl w:val="1"/>
          <w:numId w:val="8"/>
        </w:numPr>
        <w:overflowPunct w:val="0"/>
        <w:autoSpaceDE w:val="0"/>
        <w:autoSpaceDN w:val="0"/>
        <w:adjustRightInd w:val="0"/>
        <w:ind w:left="714" w:hanging="357"/>
        <w:contextualSpacing/>
        <w:textAlignment w:val="baseline"/>
        <w:rPr>
          <w:rFonts w:eastAsia="Times New Roman" w:cs="Arial"/>
          <w:bCs/>
          <w:szCs w:val="24"/>
        </w:rPr>
      </w:pPr>
      <w:r w:rsidRPr="00C74539">
        <w:rPr>
          <w:rFonts w:eastAsia="Times New Roman" w:cs="Arial"/>
          <w:bCs/>
          <w:szCs w:val="24"/>
        </w:rPr>
        <w:t>Identifiable living individual is one who can be identified, directly or indirectly, in particular by reference to:</w:t>
      </w:r>
    </w:p>
    <w:p w14:paraId="5B212B9B" w14:textId="77777777" w:rsidR="00C74539" w:rsidRPr="00C74539" w:rsidRDefault="00C74539" w:rsidP="004C3577">
      <w:pPr>
        <w:widowControl w:val="0"/>
        <w:numPr>
          <w:ilvl w:val="1"/>
          <w:numId w:val="7"/>
        </w:numPr>
        <w:overflowPunct w:val="0"/>
        <w:autoSpaceDE w:val="0"/>
        <w:autoSpaceDN w:val="0"/>
        <w:adjustRightInd w:val="0"/>
        <w:ind w:left="1434" w:hanging="357"/>
        <w:contextualSpacing/>
        <w:textAlignment w:val="baseline"/>
        <w:rPr>
          <w:rFonts w:eastAsia="Times New Roman" w:cs="Arial"/>
          <w:bCs/>
          <w:szCs w:val="24"/>
        </w:rPr>
      </w:pPr>
      <w:r w:rsidRPr="00C74539">
        <w:rPr>
          <w:rFonts w:eastAsia="Times New Roman" w:cs="Arial"/>
          <w:bCs/>
          <w:szCs w:val="24"/>
        </w:rPr>
        <w:t>an identifier such as a name, ID number, location data or online identifier, or</w:t>
      </w:r>
    </w:p>
    <w:p w14:paraId="2292B6E5" w14:textId="77777777" w:rsidR="00C74539" w:rsidRPr="00C74539" w:rsidRDefault="00C74539" w:rsidP="004C3577">
      <w:pPr>
        <w:widowControl w:val="0"/>
        <w:numPr>
          <w:ilvl w:val="1"/>
          <w:numId w:val="7"/>
        </w:numPr>
        <w:overflowPunct w:val="0"/>
        <w:autoSpaceDE w:val="0"/>
        <w:autoSpaceDN w:val="0"/>
        <w:adjustRightInd w:val="0"/>
        <w:ind w:left="1434" w:hanging="357"/>
        <w:contextualSpacing/>
        <w:textAlignment w:val="baseline"/>
        <w:rPr>
          <w:rFonts w:eastAsia="Times New Roman" w:cs="Arial"/>
          <w:bCs/>
          <w:szCs w:val="24"/>
        </w:rPr>
      </w:pPr>
      <w:r w:rsidRPr="00C74539">
        <w:rPr>
          <w:rFonts w:eastAsia="Times New Roman" w:cs="Arial"/>
          <w:bCs/>
          <w:szCs w:val="24"/>
        </w:rPr>
        <w:t>one or more factors specific to the physical, physiological, genetic, mental, economic, cultural or social identity of the individual.</w:t>
      </w:r>
    </w:p>
    <w:p w14:paraId="717F4402" w14:textId="26A56137" w:rsidR="00C74539" w:rsidRPr="00C74539" w:rsidRDefault="00C74539" w:rsidP="004C3577">
      <w:pPr>
        <w:widowControl w:val="0"/>
        <w:numPr>
          <w:ilvl w:val="1"/>
          <w:numId w:val="8"/>
        </w:numPr>
        <w:overflowPunct w:val="0"/>
        <w:autoSpaceDE w:val="0"/>
        <w:autoSpaceDN w:val="0"/>
        <w:adjustRightInd w:val="0"/>
        <w:ind w:left="714" w:hanging="357"/>
        <w:contextualSpacing/>
        <w:textAlignment w:val="baseline"/>
        <w:rPr>
          <w:rFonts w:eastAsia="Times New Roman" w:cs="Arial"/>
          <w:bCs/>
          <w:szCs w:val="24"/>
        </w:rPr>
      </w:pPr>
      <w:r w:rsidRPr="00C74539">
        <w:rPr>
          <w:rFonts w:eastAsia="Times New Roman" w:cs="Arial"/>
          <w:bCs/>
          <w:szCs w:val="24"/>
        </w:rPr>
        <w:t xml:space="preserve">Law enforcement purposes are defined as the purposes of prevention, investigation, detection or prosecution of criminal offences or the execution of criminal penalties, including the safeguarding against and the prevention of threats to public security. Processing personal data for law enforcement purposes can only be carried out by competent authorities listed in </w:t>
      </w:r>
      <w:r w:rsidRPr="00C74539">
        <w:rPr>
          <w:rFonts w:eastAsia="Times New Roman" w:cs="Arial"/>
          <w:bCs/>
          <w:color w:val="0000FF"/>
          <w:szCs w:val="24"/>
          <w:u w:val="single"/>
        </w:rPr>
        <w:t>Schedule 7</w:t>
      </w:r>
      <w:r w:rsidRPr="00C74539">
        <w:rPr>
          <w:rFonts w:eastAsia="Times New Roman" w:cs="Arial"/>
          <w:bCs/>
          <w:szCs w:val="24"/>
        </w:rPr>
        <w:t xml:space="preserve"> of the Act. Police Scotland is a competent authority.</w:t>
      </w:r>
    </w:p>
    <w:p w14:paraId="3A60F23E" w14:textId="77777777" w:rsidR="00C74539" w:rsidRPr="00C74539" w:rsidRDefault="00C74539" w:rsidP="004C3577">
      <w:pPr>
        <w:widowControl w:val="0"/>
        <w:numPr>
          <w:ilvl w:val="1"/>
          <w:numId w:val="8"/>
        </w:numPr>
        <w:overflowPunct w:val="0"/>
        <w:autoSpaceDE w:val="0"/>
        <w:autoSpaceDN w:val="0"/>
        <w:adjustRightInd w:val="0"/>
        <w:ind w:left="714" w:hanging="357"/>
        <w:contextualSpacing/>
        <w:textAlignment w:val="baseline"/>
        <w:rPr>
          <w:rFonts w:eastAsia="Times New Roman" w:cs="Arial"/>
          <w:bCs/>
          <w:szCs w:val="24"/>
        </w:rPr>
      </w:pPr>
      <w:r w:rsidRPr="00C74539">
        <w:rPr>
          <w:rFonts w:eastAsia="Times New Roman" w:cs="Arial"/>
          <w:bCs/>
          <w:szCs w:val="24"/>
        </w:rPr>
        <w:t xml:space="preserve">Processing in relation to personal data is anything at all that we do with </w:t>
      </w:r>
      <w:r w:rsidRPr="00C74539">
        <w:rPr>
          <w:rFonts w:eastAsia="Times New Roman" w:cs="Arial"/>
          <w:bCs/>
          <w:szCs w:val="24"/>
        </w:rPr>
        <w:lastRenderedPageBreak/>
        <w:t xml:space="preserve">personal data, e.g. gathering, holding, accessing, altering, disclosing, deleting, etc. </w:t>
      </w:r>
    </w:p>
    <w:p w14:paraId="343A158E" w14:textId="77777777" w:rsidR="00C74539" w:rsidRPr="00C74539" w:rsidRDefault="00C74539" w:rsidP="004C3577">
      <w:pPr>
        <w:widowControl w:val="0"/>
        <w:numPr>
          <w:ilvl w:val="1"/>
          <w:numId w:val="8"/>
        </w:numPr>
        <w:overflowPunct w:val="0"/>
        <w:autoSpaceDE w:val="0"/>
        <w:autoSpaceDN w:val="0"/>
        <w:adjustRightInd w:val="0"/>
        <w:ind w:left="714" w:hanging="357"/>
        <w:contextualSpacing/>
        <w:textAlignment w:val="baseline"/>
        <w:rPr>
          <w:rFonts w:eastAsia="Times New Roman" w:cs="Arial"/>
          <w:bCs/>
          <w:szCs w:val="24"/>
        </w:rPr>
      </w:pPr>
      <w:r w:rsidRPr="00C74539">
        <w:rPr>
          <w:rFonts w:eastAsia="Times New Roman" w:cs="Arial"/>
          <w:bCs/>
          <w:szCs w:val="24"/>
        </w:rPr>
        <w:t>Processor means a person or legal person, public authority, agency or body which processes personal data on behalf of the controller (other than an employee of the controller).</w:t>
      </w:r>
    </w:p>
    <w:p w14:paraId="3359CB0B" w14:textId="77777777" w:rsidR="00C74539" w:rsidRPr="00C74539" w:rsidRDefault="00C74539" w:rsidP="004C3577">
      <w:pPr>
        <w:widowControl w:val="0"/>
        <w:numPr>
          <w:ilvl w:val="1"/>
          <w:numId w:val="8"/>
        </w:numPr>
        <w:overflowPunct w:val="0"/>
        <w:autoSpaceDE w:val="0"/>
        <w:autoSpaceDN w:val="0"/>
        <w:adjustRightInd w:val="0"/>
        <w:ind w:left="714" w:hanging="357"/>
        <w:contextualSpacing/>
        <w:textAlignment w:val="baseline"/>
        <w:rPr>
          <w:rFonts w:eastAsia="Times New Roman" w:cs="Arial"/>
          <w:bCs/>
          <w:szCs w:val="24"/>
        </w:rPr>
      </w:pPr>
      <w:r w:rsidRPr="00C74539">
        <w:rPr>
          <w:rFonts w:eastAsia="Times New Roman" w:cs="Arial"/>
          <w:bCs/>
          <w:szCs w:val="24"/>
        </w:rPr>
        <w:t>Personal data means any information relating to an identified or identifiable living individual.</w:t>
      </w:r>
    </w:p>
    <w:p w14:paraId="16CF3266" w14:textId="77777777" w:rsidR="00C74539" w:rsidRPr="00C74539" w:rsidRDefault="00C74539" w:rsidP="004C3577">
      <w:pPr>
        <w:widowControl w:val="0"/>
        <w:numPr>
          <w:ilvl w:val="1"/>
          <w:numId w:val="8"/>
        </w:numPr>
        <w:overflowPunct w:val="0"/>
        <w:autoSpaceDE w:val="0"/>
        <w:autoSpaceDN w:val="0"/>
        <w:adjustRightInd w:val="0"/>
        <w:ind w:left="714" w:hanging="357"/>
        <w:contextualSpacing/>
        <w:textAlignment w:val="baseline"/>
        <w:rPr>
          <w:rFonts w:eastAsia="Times New Roman" w:cs="Arial"/>
          <w:bCs/>
          <w:szCs w:val="24"/>
        </w:rPr>
      </w:pPr>
      <w:r w:rsidRPr="00C74539">
        <w:rPr>
          <w:rFonts w:eastAsia="Times New Roman" w:cs="Arial"/>
          <w:bCs/>
          <w:szCs w:val="24"/>
        </w:rPr>
        <w:t xml:space="preserve">Restriction of processing means the marking of stored personal data with the aim of limiting their processing in the future. </w:t>
      </w:r>
    </w:p>
    <w:p w14:paraId="25CD3EE2" w14:textId="77777777" w:rsidR="00C74539" w:rsidRPr="00C74539" w:rsidRDefault="00C74539" w:rsidP="004C3577">
      <w:pPr>
        <w:widowControl w:val="0"/>
        <w:numPr>
          <w:ilvl w:val="1"/>
          <w:numId w:val="8"/>
        </w:numPr>
        <w:overflowPunct w:val="0"/>
        <w:autoSpaceDE w:val="0"/>
        <w:autoSpaceDN w:val="0"/>
        <w:adjustRightInd w:val="0"/>
        <w:ind w:left="714" w:hanging="357"/>
        <w:contextualSpacing/>
        <w:textAlignment w:val="baseline"/>
        <w:rPr>
          <w:rFonts w:eastAsia="Times New Roman" w:cs="Arial"/>
          <w:bCs/>
          <w:szCs w:val="24"/>
        </w:rPr>
      </w:pPr>
      <w:r w:rsidRPr="00C74539">
        <w:rPr>
          <w:rFonts w:eastAsia="Times New Roman" w:cs="Arial"/>
          <w:bCs/>
          <w:szCs w:val="24"/>
        </w:rPr>
        <w:t>Special/Sensitive Categories of data means processing of personal data revealing:</w:t>
      </w:r>
    </w:p>
    <w:p w14:paraId="4DF2370C" w14:textId="77777777" w:rsidR="00C74539" w:rsidRPr="00C74539" w:rsidRDefault="00C74539" w:rsidP="004C3577">
      <w:pPr>
        <w:widowControl w:val="0"/>
        <w:numPr>
          <w:ilvl w:val="0"/>
          <w:numId w:val="9"/>
        </w:numPr>
        <w:overflowPunct w:val="0"/>
        <w:autoSpaceDE w:val="0"/>
        <w:autoSpaceDN w:val="0"/>
        <w:adjustRightInd w:val="0"/>
        <w:ind w:left="1434" w:hanging="357"/>
        <w:contextualSpacing/>
        <w:textAlignment w:val="baseline"/>
        <w:rPr>
          <w:rFonts w:eastAsia="Times New Roman" w:cs="Arial"/>
          <w:bCs/>
          <w:szCs w:val="24"/>
        </w:rPr>
      </w:pPr>
      <w:r w:rsidRPr="00C74539">
        <w:rPr>
          <w:rFonts w:eastAsia="Times New Roman" w:cs="Arial"/>
          <w:bCs/>
          <w:szCs w:val="24"/>
        </w:rPr>
        <w:t xml:space="preserve"> racial or ethnic origin</w:t>
      </w:r>
    </w:p>
    <w:p w14:paraId="6036A41E" w14:textId="77777777" w:rsidR="00C74539" w:rsidRPr="00C74539" w:rsidRDefault="00C74539" w:rsidP="004C3577">
      <w:pPr>
        <w:widowControl w:val="0"/>
        <w:numPr>
          <w:ilvl w:val="0"/>
          <w:numId w:val="9"/>
        </w:numPr>
        <w:overflowPunct w:val="0"/>
        <w:autoSpaceDE w:val="0"/>
        <w:autoSpaceDN w:val="0"/>
        <w:adjustRightInd w:val="0"/>
        <w:ind w:left="1434" w:hanging="357"/>
        <w:contextualSpacing/>
        <w:textAlignment w:val="baseline"/>
        <w:rPr>
          <w:rFonts w:eastAsia="Times New Roman" w:cs="Arial"/>
          <w:bCs/>
          <w:szCs w:val="24"/>
        </w:rPr>
      </w:pPr>
      <w:r w:rsidRPr="00C74539">
        <w:rPr>
          <w:rFonts w:eastAsia="Times New Roman" w:cs="Arial"/>
          <w:bCs/>
          <w:szCs w:val="24"/>
        </w:rPr>
        <w:t xml:space="preserve"> political opinions</w:t>
      </w:r>
    </w:p>
    <w:p w14:paraId="2B430E28" w14:textId="77777777" w:rsidR="00C74539" w:rsidRPr="00C74539" w:rsidRDefault="00C74539" w:rsidP="004C3577">
      <w:pPr>
        <w:widowControl w:val="0"/>
        <w:numPr>
          <w:ilvl w:val="0"/>
          <w:numId w:val="9"/>
        </w:numPr>
        <w:overflowPunct w:val="0"/>
        <w:autoSpaceDE w:val="0"/>
        <w:autoSpaceDN w:val="0"/>
        <w:adjustRightInd w:val="0"/>
        <w:ind w:left="1434" w:hanging="357"/>
        <w:contextualSpacing/>
        <w:textAlignment w:val="baseline"/>
        <w:rPr>
          <w:rFonts w:eastAsia="Times New Roman" w:cs="Arial"/>
          <w:bCs/>
          <w:szCs w:val="24"/>
        </w:rPr>
      </w:pPr>
      <w:r w:rsidRPr="00C74539">
        <w:rPr>
          <w:rFonts w:eastAsia="Times New Roman" w:cs="Arial"/>
          <w:bCs/>
          <w:szCs w:val="24"/>
        </w:rPr>
        <w:t xml:space="preserve"> religious or philosophical beliefs</w:t>
      </w:r>
    </w:p>
    <w:p w14:paraId="4682E6A7" w14:textId="77777777" w:rsidR="00C74539" w:rsidRPr="00C74539" w:rsidRDefault="00C74539" w:rsidP="004C3577">
      <w:pPr>
        <w:widowControl w:val="0"/>
        <w:numPr>
          <w:ilvl w:val="0"/>
          <w:numId w:val="9"/>
        </w:numPr>
        <w:overflowPunct w:val="0"/>
        <w:autoSpaceDE w:val="0"/>
        <w:autoSpaceDN w:val="0"/>
        <w:adjustRightInd w:val="0"/>
        <w:ind w:left="1434" w:hanging="357"/>
        <w:contextualSpacing/>
        <w:textAlignment w:val="baseline"/>
        <w:rPr>
          <w:rFonts w:eastAsia="Times New Roman" w:cs="Arial"/>
          <w:bCs/>
          <w:szCs w:val="24"/>
        </w:rPr>
      </w:pPr>
      <w:r w:rsidRPr="00C74539">
        <w:rPr>
          <w:rFonts w:eastAsia="Times New Roman" w:cs="Arial"/>
          <w:bCs/>
          <w:szCs w:val="24"/>
        </w:rPr>
        <w:t xml:space="preserve"> trade union membership</w:t>
      </w:r>
    </w:p>
    <w:p w14:paraId="26D77182" w14:textId="77777777" w:rsidR="00C74539" w:rsidRPr="00C74539" w:rsidRDefault="00C74539" w:rsidP="004C3577">
      <w:pPr>
        <w:widowControl w:val="0"/>
        <w:numPr>
          <w:ilvl w:val="0"/>
          <w:numId w:val="9"/>
        </w:numPr>
        <w:overflowPunct w:val="0"/>
        <w:autoSpaceDE w:val="0"/>
        <w:autoSpaceDN w:val="0"/>
        <w:adjustRightInd w:val="0"/>
        <w:ind w:left="1434" w:hanging="357"/>
        <w:contextualSpacing/>
        <w:textAlignment w:val="baseline"/>
        <w:rPr>
          <w:rFonts w:eastAsia="Times New Roman" w:cs="Arial"/>
          <w:bCs/>
          <w:szCs w:val="24"/>
        </w:rPr>
      </w:pPr>
      <w:r w:rsidRPr="00C74539">
        <w:rPr>
          <w:rFonts w:eastAsia="Times New Roman" w:cs="Arial"/>
          <w:bCs/>
          <w:szCs w:val="24"/>
        </w:rPr>
        <w:t xml:space="preserve"> data concerning health</w:t>
      </w:r>
    </w:p>
    <w:p w14:paraId="322A3DBA" w14:textId="77777777" w:rsidR="00C74539" w:rsidRPr="00C74539" w:rsidRDefault="00C74539" w:rsidP="004C3577">
      <w:pPr>
        <w:widowControl w:val="0"/>
        <w:numPr>
          <w:ilvl w:val="0"/>
          <w:numId w:val="9"/>
        </w:numPr>
        <w:overflowPunct w:val="0"/>
        <w:autoSpaceDE w:val="0"/>
        <w:autoSpaceDN w:val="0"/>
        <w:adjustRightInd w:val="0"/>
        <w:ind w:left="1434" w:hanging="357"/>
        <w:contextualSpacing/>
        <w:textAlignment w:val="baseline"/>
        <w:rPr>
          <w:rFonts w:eastAsia="Times New Roman" w:cs="Arial"/>
          <w:bCs/>
          <w:szCs w:val="24"/>
        </w:rPr>
      </w:pPr>
      <w:r w:rsidRPr="00C74539">
        <w:rPr>
          <w:rFonts w:eastAsia="Times New Roman" w:cs="Arial"/>
          <w:bCs/>
          <w:szCs w:val="24"/>
        </w:rPr>
        <w:t xml:space="preserve"> data concerning an individual’s sex life or sexual orientation</w:t>
      </w:r>
    </w:p>
    <w:p w14:paraId="198ED693" w14:textId="77777777" w:rsidR="00C74539" w:rsidRPr="00C74539" w:rsidRDefault="00C74539" w:rsidP="004C3577">
      <w:pPr>
        <w:widowControl w:val="0"/>
        <w:numPr>
          <w:ilvl w:val="0"/>
          <w:numId w:val="9"/>
        </w:numPr>
        <w:overflowPunct w:val="0"/>
        <w:autoSpaceDE w:val="0"/>
        <w:autoSpaceDN w:val="0"/>
        <w:adjustRightInd w:val="0"/>
        <w:ind w:left="1434" w:hanging="357"/>
        <w:contextualSpacing/>
        <w:textAlignment w:val="baseline"/>
        <w:rPr>
          <w:rFonts w:eastAsia="Times New Roman" w:cs="Arial"/>
          <w:bCs/>
          <w:szCs w:val="24"/>
        </w:rPr>
      </w:pPr>
      <w:r w:rsidRPr="00C74539">
        <w:rPr>
          <w:rFonts w:eastAsia="Times New Roman" w:cs="Arial"/>
          <w:bCs/>
          <w:szCs w:val="24"/>
        </w:rPr>
        <w:t xml:space="preserve"> processing of genetic data or biometric data for the purposes of uniquely identifying an individual.</w:t>
      </w:r>
    </w:p>
    <w:p w14:paraId="611D6DC4" w14:textId="005255D2" w:rsidR="00C74539" w:rsidRDefault="00C74539" w:rsidP="00C74539">
      <w:pPr>
        <w:rPr>
          <w:bCs/>
        </w:rPr>
      </w:pPr>
      <w:r w:rsidRPr="00C74539">
        <w:rPr>
          <w:bCs/>
        </w:rPr>
        <w:t xml:space="preserve">Generally, a photograph is not considered to be biometric data. </w:t>
      </w:r>
      <w:r w:rsidRPr="00C74539">
        <w:rPr>
          <w:bCs/>
          <w:lang w:val="en"/>
        </w:rPr>
        <w:t>It only becomes biometric data if “specific technical processing” is carried out. Usually this involves using the image data to create an individual digital template or profile, which in turn is used for automated image matching and identification.</w:t>
      </w:r>
      <w:r w:rsidRPr="00C74539">
        <w:rPr>
          <w:bCs/>
        </w:rPr>
        <w:t xml:space="preserve"> For other definitions see </w:t>
      </w:r>
      <w:r w:rsidRPr="00C74539">
        <w:rPr>
          <w:bCs/>
          <w:color w:val="0000FF"/>
          <w:u w:val="single"/>
        </w:rPr>
        <w:t>Article 4 of the GDPR</w:t>
      </w:r>
      <w:r w:rsidRPr="00C74539">
        <w:rPr>
          <w:bCs/>
        </w:rPr>
        <w:t xml:space="preserve"> and </w:t>
      </w:r>
      <w:r w:rsidRPr="00C74539">
        <w:rPr>
          <w:bCs/>
          <w:color w:val="0000FF"/>
          <w:u w:val="single"/>
        </w:rPr>
        <w:t xml:space="preserve">Part 2 </w:t>
      </w:r>
      <w:r w:rsidRPr="00C74539">
        <w:rPr>
          <w:bCs/>
        </w:rPr>
        <w:t>and</w:t>
      </w:r>
      <w:r w:rsidRPr="00C74539">
        <w:rPr>
          <w:bCs/>
          <w:color w:val="0000FF"/>
          <w:u w:val="single"/>
        </w:rPr>
        <w:t xml:space="preserve"> Part 3 </w:t>
      </w:r>
      <w:r w:rsidRPr="00C74539">
        <w:rPr>
          <w:bCs/>
        </w:rPr>
        <w:t>of the Act.</w:t>
      </w:r>
    </w:p>
    <w:p w14:paraId="04261668" w14:textId="40AECBFC" w:rsidR="00BF7F08" w:rsidRPr="00BF7F08" w:rsidRDefault="00BF7F08" w:rsidP="002D7218">
      <w:pPr>
        <w:pStyle w:val="Heading2"/>
        <w:numPr>
          <w:ilvl w:val="0"/>
          <w:numId w:val="2"/>
        </w:numPr>
      </w:pPr>
      <w:bookmarkStart w:id="14" w:name="_Toc189822227"/>
      <w:bookmarkStart w:id="15" w:name="_Toc203466124"/>
      <w:bookmarkStart w:id="16" w:name="_Toc204850184"/>
      <w:r w:rsidRPr="00BF7F08">
        <w:t>Compliance with the Data Protection Principles</w:t>
      </w:r>
      <w:bookmarkEnd w:id="14"/>
      <w:bookmarkEnd w:id="15"/>
      <w:bookmarkEnd w:id="16"/>
    </w:p>
    <w:p w14:paraId="44364562" w14:textId="0044ABE3" w:rsidR="00BF7F08" w:rsidRPr="00BF7F08" w:rsidRDefault="00BF7F08" w:rsidP="00BF7F08">
      <w:pPr>
        <w:rPr>
          <w:rFonts w:cs="Arial"/>
        </w:rPr>
      </w:pPr>
      <w:r w:rsidRPr="00BF7F08">
        <w:rPr>
          <w:rFonts w:cs="Arial"/>
        </w:rPr>
        <w:t>Police Scotland must comply with data protection legislation guided by 7 data protection principles (</w:t>
      </w:r>
      <w:r w:rsidRPr="00BF7F08">
        <w:rPr>
          <w:rFonts w:cs="Arial"/>
          <w:color w:val="0000FF"/>
          <w:u w:val="single"/>
        </w:rPr>
        <w:t>Article 5 of the GDPR</w:t>
      </w:r>
      <w:r w:rsidRPr="00BF7F08">
        <w:rPr>
          <w:rFonts w:cs="Arial"/>
        </w:rPr>
        <w:t>) which require that personal data is:</w:t>
      </w:r>
    </w:p>
    <w:p w14:paraId="7110A3E1" w14:textId="77777777" w:rsidR="00BF7F08" w:rsidRPr="00BF7F08" w:rsidRDefault="00BF7F08" w:rsidP="004C3577">
      <w:pPr>
        <w:numPr>
          <w:ilvl w:val="3"/>
          <w:numId w:val="3"/>
        </w:numPr>
        <w:spacing w:after="240"/>
        <w:contextualSpacing/>
        <w:rPr>
          <w:rFonts w:eastAsia="Aptos" w:cs="Arial"/>
          <w:kern w:val="2"/>
          <w:szCs w:val="24"/>
          <w:lang w:eastAsia="en-US"/>
        </w:rPr>
      </w:pPr>
      <w:r w:rsidRPr="00BF7F08">
        <w:rPr>
          <w:rFonts w:eastAsia="Aptos" w:cs="Arial"/>
          <w:kern w:val="2"/>
          <w:szCs w:val="24"/>
          <w:lang w:eastAsia="en-US"/>
        </w:rPr>
        <w:t xml:space="preserve">Processed fairly, lawfully and in a transparent manner. </w:t>
      </w:r>
    </w:p>
    <w:p w14:paraId="266BE26E" w14:textId="77777777" w:rsidR="00BF7F08" w:rsidRPr="00BF7F08" w:rsidRDefault="00BF7F08" w:rsidP="004C3577">
      <w:pPr>
        <w:numPr>
          <w:ilvl w:val="3"/>
          <w:numId w:val="3"/>
        </w:numPr>
        <w:spacing w:after="240"/>
        <w:contextualSpacing/>
        <w:rPr>
          <w:rFonts w:eastAsia="Aptos" w:cs="Arial"/>
          <w:kern w:val="2"/>
          <w:szCs w:val="24"/>
          <w:lang w:eastAsia="en-US"/>
        </w:rPr>
      </w:pPr>
      <w:r w:rsidRPr="00BF7F08">
        <w:rPr>
          <w:rFonts w:eastAsia="Aptos" w:cs="Arial"/>
          <w:kern w:val="2"/>
          <w:szCs w:val="24"/>
          <w:lang w:eastAsia="en-US"/>
        </w:rPr>
        <w:t xml:space="preserve">Used only for limited, specified stated purposes and not used or disclosed in any way incompatible with those purposes. </w:t>
      </w:r>
    </w:p>
    <w:p w14:paraId="13DA5AD3" w14:textId="77777777" w:rsidR="00BF7F08" w:rsidRPr="00BF7F08" w:rsidRDefault="00BF7F08" w:rsidP="004C3577">
      <w:pPr>
        <w:numPr>
          <w:ilvl w:val="3"/>
          <w:numId w:val="3"/>
        </w:numPr>
        <w:spacing w:after="240"/>
        <w:contextualSpacing/>
        <w:rPr>
          <w:rFonts w:eastAsia="Aptos" w:cs="Arial"/>
          <w:kern w:val="2"/>
          <w:szCs w:val="24"/>
          <w:lang w:eastAsia="en-US"/>
        </w:rPr>
      </w:pPr>
      <w:r w:rsidRPr="00BF7F08">
        <w:rPr>
          <w:rFonts w:eastAsia="Aptos" w:cs="Arial"/>
          <w:kern w:val="2"/>
          <w:szCs w:val="24"/>
          <w:lang w:eastAsia="en-US"/>
        </w:rPr>
        <w:t xml:space="preserve">Adequate, relevant, and limited to what is necessary. </w:t>
      </w:r>
    </w:p>
    <w:p w14:paraId="3ADB015B" w14:textId="77777777" w:rsidR="00BF7F08" w:rsidRPr="00BF7F08" w:rsidRDefault="00BF7F08" w:rsidP="004C3577">
      <w:pPr>
        <w:numPr>
          <w:ilvl w:val="3"/>
          <w:numId w:val="3"/>
        </w:numPr>
        <w:spacing w:after="240"/>
        <w:contextualSpacing/>
        <w:rPr>
          <w:rFonts w:eastAsia="Aptos" w:cs="Arial"/>
          <w:kern w:val="2"/>
          <w:szCs w:val="24"/>
          <w:lang w:eastAsia="en-US"/>
        </w:rPr>
      </w:pPr>
      <w:r w:rsidRPr="00BF7F08">
        <w:rPr>
          <w:rFonts w:eastAsia="Aptos" w:cs="Arial"/>
          <w:kern w:val="2"/>
          <w:szCs w:val="24"/>
          <w:lang w:eastAsia="en-US"/>
        </w:rPr>
        <w:t xml:space="preserve">Accurate and, where necessary, up to date. </w:t>
      </w:r>
    </w:p>
    <w:p w14:paraId="7ECFDC71" w14:textId="339D4102" w:rsidR="00BF7F08" w:rsidRPr="00BF7F08" w:rsidRDefault="00BF7F08" w:rsidP="004C3577">
      <w:pPr>
        <w:numPr>
          <w:ilvl w:val="3"/>
          <w:numId w:val="3"/>
        </w:numPr>
        <w:spacing w:after="240"/>
        <w:contextualSpacing/>
        <w:rPr>
          <w:rFonts w:eastAsia="Aptos" w:cs="Arial"/>
          <w:kern w:val="2"/>
          <w:szCs w:val="24"/>
          <w:lang w:eastAsia="en-US"/>
        </w:rPr>
      </w:pPr>
      <w:r w:rsidRPr="00BF7F08">
        <w:rPr>
          <w:rFonts w:eastAsia="Aptos" w:cs="Arial"/>
          <w:kern w:val="2"/>
          <w:szCs w:val="24"/>
          <w:lang w:eastAsia="en-US"/>
        </w:rPr>
        <w:lastRenderedPageBreak/>
        <w:t xml:space="preserve">Not kept for longer than necessary.  Refer to the </w:t>
      </w:r>
      <w:r w:rsidRPr="00BF7F08">
        <w:rPr>
          <w:rFonts w:eastAsia="Aptos" w:cs="Arial"/>
          <w:color w:val="0000FF"/>
          <w:kern w:val="2"/>
          <w:szCs w:val="24"/>
          <w:u w:val="single"/>
          <w:lang w:eastAsia="en-US"/>
        </w:rPr>
        <w:t>Record Retention SOP</w:t>
      </w:r>
      <w:r w:rsidRPr="00BF7F08">
        <w:rPr>
          <w:rFonts w:eastAsia="Aptos" w:cs="Arial"/>
          <w:kern w:val="2"/>
          <w:szCs w:val="24"/>
          <w:lang w:eastAsia="en-US"/>
        </w:rPr>
        <w:t xml:space="preserve">; and </w:t>
      </w:r>
    </w:p>
    <w:p w14:paraId="0748D9D5" w14:textId="0DFCAA2E" w:rsidR="00BF7F08" w:rsidRPr="00BF7F08" w:rsidRDefault="00BF7F08" w:rsidP="004C3577">
      <w:pPr>
        <w:numPr>
          <w:ilvl w:val="3"/>
          <w:numId w:val="3"/>
        </w:numPr>
        <w:spacing w:after="240"/>
        <w:contextualSpacing/>
        <w:rPr>
          <w:rFonts w:eastAsia="Aptos" w:cs="Arial"/>
          <w:kern w:val="2"/>
          <w:szCs w:val="24"/>
          <w:lang w:eastAsia="en-US"/>
        </w:rPr>
      </w:pPr>
      <w:r w:rsidRPr="00BF7F08">
        <w:rPr>
          <w:rFonts w:eastAsia="Aptos" w:cs="Arial"/>
          <w:kern w:val="2"/>
          <w:szCs w:val="24"/>
          <w:lang w:eastAsia="en-US"/>
        </w:rPr>
        <w:t xml:space="preserve">Kept safe and secure. Refer to the </w:t>
      </w:r>
      <w:r w:rsidRPr="00BF7F08">
        <w:rPr>
          <w:rFonts w:eastAsia="Aptos" w:cs="Arial"/>
          <w:color w:val="0000FF"/>
          <w:kern w:val="2"/>
          <w:szCs w:val="24"/>
          <w:u w:val="single"/>
          <w:lang w:eastAsia="en-US"/>
        </w:rPr>
        <w:t>Information Security SOP</w:t>
      </w:r>
    </w:p>
    <w:p w14:paraId="10D980BF" w14:textId="77777777" w:rsidR="00BF7F08" w:rsidRPr="00BF7F08" w:rsidRDefault="00BF7F08" w:rsidP="004C3577">
      <w:pPr>
        <w:numPr>
          <w:ilvl w:val="3"/>
          <w:numId w:val="3"/>
        </w:numPr>
        <w:spacing w:after="240"/>
        <w:contextualSpacing/>
        <w:rPr>
          <w:rFonts w:eastAsia="Aptos" w:cs="Arial"/>
          <w:kern w:val="2"/>
          <w:szCs w:val="24"/>
          <w:lang w:eastAsia="en-US"/>
        </w:rPr>
      </w:pPr>
      <w:r w:rsidRPr="00BF7F08">
        <w:rPr>
          <w:rFonts w:eastAsia="Times New Roman" w:cs="Arial"/>
          <w:szCs w:val="24"/>
        </w:rPr>
        <w:t>Accountability - this principle requires Police Scotland to be able to evidence its compliance with the above six principles and make sure that it does not put individuals at risk because of the processing of their personal data. Failure to do so can result in breach of legislation, reputational damage, or financial implications due to fines. To meet its obligations, Police Scotland must put in place appropriate and effective measures to make sure it complies with data protection law.</w:t>
      </w:r>
    </w:p>
    <w:p w14:paraId="032CD3FE" w14:textId="77777777" w:rsidR="00BF7F08" w:rsidRPr="00BF7F08" w:rsidRDefault="00BF7F08" w:rsidP="002D7218">
      <w:pPr>
        <w:pStyle w:val="Heading3"/>
      </w:pPr>
      <w:bookmarkStart w:id="17" w:name="_Toc189822228"/>
      <w:bookmarkStart w:id="18" w:name="_Toc203466125"/>
      <w:bookmarkStart w:id="19" w:name="_Toc204850185"/>
      <w:r w:rsidRPr="00BF7F08">
        <w:t>Data Minimisation</w:t>
      </w:r>
      <w:bookmarkEnd w:id="17"/>
      <w:bookmarkEnd w:id="18"/>
      <w:bookmarkEnd w:id="19"/>
    </w:p>
    <w:p w14:paraId="69CD5804" w14:textId="77777777" w:rsidR="00BF7F08" w:rsidRPr="00BF7F08" w:rsidRDefault="00BF7F08" w:rsidP="00BF7F08">
      <w:r w:rsidRPr="00BF7F08">
        <w:t>Officers and Staff must, when processing personal data ensure that it is:</w:t>
      </w:r>
    </w:p>
    <w:p w14:paraId="05B679C2" w14:textId="77777777" w:rsidR="00BF7F08" w:rsidRPr="00BF7F08" w:rsidRDefault="00BF7F08" w:rsidP="004C3577">
      <w:pPr>
        <w:numPr>
          <w:ilvl w:val="0"/>
          <w:numId w:val="10"/>
        </w:numPr>
        <w:ind w:left="714" w:hanging="357"/>
      </w:pPr>
      <w:r w:rsidRPr="00BF7F08">
        <w:t>Adequate – sufficient to properly fulfil our stated purpose.</w:t>
      </w:r>
    </w:p>
    <w:p w14:paraId="4469CBF6" w14:textId="77777777" w:rsidR="00BF7F08" w:rsidRPr="00BF7F08" w:rsidRDefault="00BF7F08" w:rsidP="004C3577">
      <w:pPr>
        <w:numPr>
          <w:ilvl w:val="0"/>
          <w:numId w:val="10"/>
        </w:numPr>
        <w:ind w:left="714" w:hanging="357"/>
        <w:contextualSpacing/>
      </w:pPr>
      <w:r w:rsidRPr="00BF7F08">
        <w:t>Relevant – has a rational link to that purpose.</w:t>
      </w:r>
    </w:p>
    <w:p w14:paraId="29C276F5" w14:textId="77777777" w:rsidR="00BF7F08" w:rsidRPr="00BF7F08" w:rsidRDefault="00BF7F08" w:rsidP="004C3577">
      <w:pPr>
        <w:numPr>
          <w:ilvl w:val="0"/>
          <w:numId w:val="10"/>
        </w:numPr>
        <w:ind w:left="714" w:hanging="357"/>
        <w:contextualSpacing/>
      </w:pPr>
      <w:r w:rsidRPr="00BF7F08">
        <w:t>Limited – to what is necessary – Police Scotland should not hold more than it needs for that purpose.</w:t>
      </w:r>
    </w:p>
    <w:p w14:paraId="245A5FA2" w14:textId="77777777" w:rsidR="00BF7F08" w:rsidRPr="00BF7F08" w:rsidRDefault="00BF7F08" w:rsidP="00BF7F08">
      <w:r w:rsidRPr="00BF7F08">
        <w:t>To assess whether Police Scotland are holding the right amount of personal data, it must first be clear about why we need it.</w:t>
      </w:r>
    </w:p>
    <w:p w14:paraId="3A13A065" w14:textId="77777777" w:rsidR="00BF7F08" w:rsidRPr="00BF7F08" w:rsidRDefault="00BF7F08" w:rsidP="00BF7F08">
      <w:r w:rsidRPr="00BF7F08">
        <w:t>Officers and Staff should only collect personal data that they actually need to properly deliver Police Scotland’s specified purposes and should not collect additional unnecessary information.</w:t>
      </w:r>
    </w:p>
    <w:p w14:paraId="1DFD14AA" w14:textId="5B4AA57D" w:rsidR="00BF7F08" w:rsidRPr="00BF7F08" w:rsidRDefault="00BF7F08" w:rsidP="00BF7F08">
      <w:r w:rsidRPr="00BF7F08">
        <w:t xml:space="preserve">Using the instructions in </w:t>
      </w:r>
      <w:r w:rsidRPr="00BF7F08">
        <w:rPr>
          <w:color w:val="0000FF"/>
          <w:u w:val="single"/>
        </w:rPr>
        <w:t>Record Retention SOP</w:t>
      </w:r>
      <w:r w:rsidRPr="00BF7F08">
        <w:t xml:space="preserve"> officers and staff must also periodically review the data they hold or for which they have responsibility and delete or instruct deletion of that which is not required.</w:t>
      </w:r>
    </w:p>
    <w:p w14:paraId="110E8CA9" w14:textId="39483699" w:rsidR="00BF7F08" w:rsidRPr="00BF7F08" w:rsidRDefault="00BF7F08" w:rsidP="00BF7F08">
      <w:r w:rsidRPr="00BF7F08">
        <w:rPr>
          <w:color w:val="0000FF"/>
          <w:u w:val="single"/>
        </w:rPr>
        <w:t>Section 34 et seq. of the Act</w:t>
      </w:r>
      <w:r w:rsidRPr="00BF7F08">
        <w:t xml:space="preserve"> prescribe the principles relating to the processing of personal data for law enforcement purposes. They are the same as those above but with additions. Some of these are covered in more detail below.</w:t>
      </w:r>
      <w:r w:rsidRPr="00BF7F08">
        <w:tab/>
      </w:r>
    </w:p>
    <w:p w14:paraId="7636ED22" w14:textId="77777777" w:rsidR="00BF7F08" w:rsidRPr="00BF7F08" w:rsidRDefault="00BF7F08" w:rsidP="00BF7F08">
      <w:r w:rsidRPr="00BF7F08">
        <w:t xml:space="preserve">There are differences between the GDPR and law enforcement principles. The reason for processing personal data </w:t>
      </w:r>
      <w:r w:rsidRPr="00BF7F08">
        <w:rPr>
          <w:bCs/>
        </w:rPr>
        <w:t xml:space="preserve">must </w:t>
      </w:r>
      <w:r w:rsidRPr="00BF7F08">
        <w:t>therefore be established to ensure the correct data protection legislation is applied.</w:t>
      </w:r>
    </w:p>
    <w:p w14:paraId="17339851" w14:textId="3E428417" w:rsidR="00BF7F08" w:rsidRPr="00BF7F08" w:rsidRDefault="00BF7F08" w:rsidP="002D7218">
      <w:pPr>
        <w:pStyle w:val="Heading2"/>
        <w:numPr>
          <w:ilvl w:val="0"/>
          <w:numId w:val="2"/>
        </w:numPr>
      </w:pPr>
      <w:bookmarkStart w:id="20" w:name="_Toc189822229"/>
      <w:bookmarkStart w:id="21" w:name="_Toc203466126"/>
      <w:bookmarkStart w:id="22" w:name="_Toc204850186"/>
      <w:r w:rsidRPr="00BF7F08">
        <w:lastRenderedPageBreak/>
        <w:t>Lawfulness of Processing – GDPR Articles 6 and 9</w:t>
      </w:r>
      <w:bookmarkEnd w:id="20"/>
      <w:bookmarkEnd w:id="21"/>
      <w:bookmarkEnd w:id="22"/>
    </w:p>
    <w:p w14:paraId="31670CF4" w14:textId="66C05C71" w:rsidR="00BF7F08" w:rsidRPr="00BF7F08" w:rsidRDefault="00BF7F08" w:rsidP="00BF7F08">
      <w:r w:rsidRPr="00BF7F08">
        <w:t xml:space="preserve">In addition to complying with the principles, there are a number of conditions, at least one of which must be satisfied before personal data can be processed. These are listed in </w:t>
      </w:r>
      <w:r w:rsidRPr="00BF7F08">
        <w:rPr>
          <w:color w:val="0000FF"/>
          <w:u w:val="single"/>
        </w:rPr>
        <w:t>Article 6</w:t>
      </w:r>
      <w:r w:rsidRPr="00BF7F08">
        <w:t>.</w:t>
      </w:r>
    </w:p>
    <w:p w14:paraId="5968C8F3" w14:textId="7217086F" w:rsidR="00BF7F08" w:rsidRPr="00BF7F08" w:rsidRDefault="00BF7F08" w:rsidP="00BF7F08">
      <w:r w:rsidRPr="00BF7F08">
        <w:t xml:space="preserve">The most commonly used condition is Article 6.1(e), ‘processing is necessary for the performance of a task carried out in the exercise of official authority vested in the controller’, commonly referred to as ‘public task’. Further information of what constitutes a public task is provided in </w:t>
      </w:r>
      <w:r w:rsidRPr="00BF7F08">
        <w:rPr>
          <w:color w:val="0000FF"/>
          <w:u w:val="single"/>
        </w:rPr>
        <w:t>Section 8</w:t>
      </w:r>
      <w:r w:rsidRPr="00BF7F08">
        <w:t xml:space="preserve"> of the Act.</w:t>
      </w:r>
    </w:p>
    <w:p w14:paraId="23F20A17" w14:textId="6566C827" w:rsidR="00BF7F08" w:rsidRPr="00BF7F08" w:rsidRDefault="00BF7F08" w:rsidP="00BF7F08">
      <w:r w:rsidRPr="00BF7F08">
        <w:t xml:space="preserve">The public task often arises from the </w:t>
      </w:r>
      <w:r w:rsidRPr="00BF7F08">
        <w:rPr>
          <w:color w:val="0000FF"/>
          <w:u w:val="single"/>
        </w:rPr>
        <w:t>Police and Fire Reform (Scotland) Act 2012</w:t>
      </w:r>
      <w:r w:rsidRPr="00BF7F08">
        <w:t>, however, other conditions in Article 6 can and will apply to processing carried out by Police Scotland.</w:t>
      </w:r>
    </w:p>
    <w:p w14:paraId="1779D8D8" w14:textId="77777777" w:rsidR="00BF7F08" w:rsidRPr="00BF7F08" w:rsidRDefault="00BF7F08" w:rsidP="002D7218">
      <w:pPr>
        <w:pStyle w:val="Heading3"/>
      </w:pPr>
      <w:bookmarkStart w:id="23" w:name="_Toc189822230"/>
      <w:bookmarkStart w:id="24" w:name="_Toc203466127"/>
      <w:bookmarkStart w:id="25" w:name="_Toc204850187"/>
      <w:r w:rsidRPr="00BF7F08">
        <w:t>Special category data and criminal convictions data</w:t>
      </w:r>
      <w:bookmarkEnd w:id="23"/>
      <w:bookmarkEnd w:id="24"/>
      <w:bookmarkEnd w:id="25"/>
    </w:p>
    <w:p w14:paraId="38808AB2" w14:textId="1569DEDD" w:rsidR="00BF7F08" w:rsidRPr="00BF7F08" w:rsidRDefault="00BF7F08" w:rsidP="00BF7F08">
      <w:r w:rsidRPr="00BF7F08">
        <w:t xml:space="preserve">When processing special category data or criminal convictions data, a further condition from </w:t>
      </w:r>
      <w:r w:rsidRPr="00BF7F08">
        <w:rPr>
          <w:color w:val="0000FF"/>
          <w:u w:val="single"/>
        </w:rPr>
        <w:t>Article 9</w:t>
      </w:r>
      <w:r w:rsidRPr="00BF7F08">
        <w:t xml:space="preserve"> must be satisfied </w:t>
      </w:r>
      <w:r w:rsidRPr="00BF7F08">
        <w:rPr>
          <w:bCs/>
        </w:rPr>
        <w:t>in addition</w:t>
      </w:r>
      <w:r w:rsidRPr="00BF7F08">
        <w:t xml:space="preserve"> to one from </w:t>
      </w:r>
      <w:r w:rsidRPr="00BF7F08">
        <w:rPr>
          <w:color w:val="0000FF"/>
          <w:u w:val="single"/>
        </w:rPr>
        <w:t>Article 6.</w:t>
      </w:r>
      <w:r w:rsidRPr="00BF7F08">
        <w:t xml:space="preserve"> (Criminal convictions data can be processed under GDPR for non-law enforcement purposes such as vetting).</w:t>
      </w:r>
    </w:p>
    <w:p w14:paraId="0AAB1EF5" w14:textId="34093C2E" w:rsidR="00C74539" w:rsidRPr="00C74539" w:rsidRDefault="00BF7F08" w:rsidP="00C74539">
      <w:r w:rsidRPr="00BF7F08">
        <w:t xml:space="preserve">Once an Article 9 condition has been identified, </w:t>
      </w:r>
      <w:r w:rsidRPr="00BF7F08">
        <w:rPr>
          <w:color w:val="0000FF"/>
          <w:u w:val="single"/>
        </w:rPr>
        <w:t>Sections 10</w:t>
      </w:r>
      <w:r w:rsidRPr="00BF7F08">
        <w:t xml:space="preserve"> and </w:t>
      </w:r>
      <w:r w:rsidRPr="00BF7F08">
        <w:rPr>
          <w:color w:val="0000FF"/>
          <w:u w:val="single"/>
        </w:rPr>
        <w:t>11</w:t>
      </w:r>
      <w:r w:rsidRPr="00BF7F08">
        <w:t xml:space="preserve"> and </w:t>
      </w:r>
      <w:r w:rsidRPr="00BF7F08">
        <w:rPr>
          <w:color w:val="0000FF"/>
          <w:u w:val="single"/>
        </w:rPr>
        <w:t>Schedule 1</w:t>
      </w:r>
      <w:r w:rsidRPr="00BF7F08">
        <w:t xml:space="preserve"> of the Act must also be considered and applied appropriately.</w:t>
      </w:r>
    </w:p>
    <w:p w14:paraId="7F7300B5" w14:textId="28FE23E0" w:rsidR="00BF7F08" w:rsidRPr="00BF7F08" w:rsidRDefault="00BF7F08" w:rsidP="002D7218">
      <w:pPr>
        <w:pStyle w:val="Heading2"/>
        <w:numPr>
          <w:ilvl w:val="0"/>
          <w:numId w:val="2"/>
        </w:numPr>
      </w:pPr>
      <w:bookmarkStart w:id="26" w:name="_Toc189822231"/>
      <w:bookmarkStart w:id="27" w:name="_Toc203466128"/>
      <w:bookmarkStart w:id="28" w:name="_Toc204850188"/>
      <w:r w:rsidRPr="00BF7F08">
        <w:t>Use of Consent for Processing – GDPR</w:t>
      </w:r>
      <w:bookmarkEnd w:id="26"/>
      <w:bookmarkEnd w:id="27"/>
      <w:bookmarkEnd w:id="28"/>
    </w:p>
    <w:p w14:paraId="79EF147D" w14:textId="77777777" w:rsidR="00BF7F08" w:rsidRPr="00BF7F08" w:rsidRDefault="00BF7F08" w:rsidP="00BF7F08">
      <w:r w:rsidRPr="00BF7F08">
        <w:t>All other conditions for processing personal and special categories of personal data must be considered before consent.</w:t>
      </w:r>
    </w:p>
    <w:p w14:paraId="63F1FF9C" w14:textId="77777777" w:rsidR="00BF7F08" w:rsidRPr="00BF7F08" w:rsidRDefault="00BF7F08" w:rsidP="00BF7F08">
      <w:r w:rsidRPr="00BF7F08">
        <w:t xml:space="preserve">The guidance is that as a public authority and an employer, Police Scotland should avoid the use of consent whenever possible due to the imbalance of power between the organisation and its employees or the public. </w:t>
      </w:r>
    </w:p>
    <w:p w14:paraId="55E7FBC8" w14:textId="77777777" w:rsidR="00BF7F08" w:rsidRPr="00BF7F08" w:rsidRDefault="00BF7F08" w:rsidP="00BF7F08">
      <w:r w:rsidRPr="00BF7F08">
        <w:t>If it is identified that consent is the only lawful basis for processing, then careful consideration must be given as to why processing is required.</w:t>
      </w:r>
    </w:p>
    <w:p w14:paraId="3FB30804" w14:textId="77777777" w:rsidR="00BF7F08" w:rsidRPr="00BF7F08" w:rsidRDefault="00BF7F08" w:rsidP="00BF7F08">
      <w:r w:rsidRPr="00BF7F08">
        <w:lastRenderedPageBreak/>
        <w:t xml:space="preserve">Information Assurance must be consulted before processing begins if it is believed consent is the most appropriate condition for processing. </w:t>
      </w:r>
    </w:p>
    <w:p w14:paraId="52474B8E" w14:textId="2FD9C31A" w:rsidR="00BF7F08" w:rsidRPr="00BF7F08" w:rsidRDefault="00BF7F08" w:rsidP="00BF7F08">
      <w:r w:rsidRPr="00BF7F08">
        <w:rPr>
          <w:color w:val="0000FF"/>
          <w:u w:val="single"/>
        </w:rPr>
        <w:t>Article 7</w:t>
      </w:r>
      <w:r w:rsidRPr="00BF7F08">
        <w:t xml:space="preserve"> prescribes the conditions for processing using consent.</w:t>
      </w:r>
    </w:p>
    <w:p w14:paraId="142A7914" w14:textId="77777777" w:rsidR="00BF7F08" w:rsidRPr="00BF7F08" w:rsidRDefault="00BF7F08" w:rsidP="00BF7F08">
      <w:r w:rsidRPr="00BF7F08">
        <w:t>Consent of the data subject means any:</w:t>
      </w:r>
    </w:p>
    <w:p w14:paraId="3C73BCB9" w14:textId="77777777" w:rsidR="00BF7F08" w:rsidRPr="00BF7F08" w:rsidRDefault="00BF7F08" w:rsidP="004C3577">
      <w:pPr>
        <w:numPr>
          <w:ilvl w:val="0"/>
          <w:numId w:val="11"/>
        </w:numPr>
        <w:ind w:left="714" w:hanging="357"/>
      </w:pPr>
      <w:r w:rsidRPr="00BF7F08">
        <w:t>Freely given.</w:t>
      </w:r>
    </w:p>
    <w:p w14:paraId="3F1BD17C" w14:textId="77777777" w:rsidR="00BF7F08" w:rsidRPr="00BF7F08" w:rsidRDefault="00BF7F08" w:rsidP="004C3577">
      <w:pPr>
        <w:numPr>
          <w:ilvl w:val="0"/>
          <w:numId w:val="11"/>
        </w:numPr>
        <w:ind w:left="714" w:hanging="357"/>
        <w:contextualSpacing/>
      </w:pPr>
      <w:r w:rsidRPr="00BF7F08">
        <w:t>Specific.</w:t>
      </w:r>
    </w:p>
    <w:p w14:paraId="29405871" w14:textId="77777777" w:rsidR="00BF7F08" w:rsidRPr="00BF7F08" w:rsidRDefault="00BF7F08" w:rsidP="004C3577">
      <w:pPr>
        <w:numPr>
          <w:ilvl w:val="0"/>
          <w:numId w:val="11"/>
        </w:numPr>
        <w:ind w:left="714" w:hanging="357"/>
        <w:contextualSpacing/>
      </w:pPr>
      <w:r w:rsidRPr="00BF7F08">
        <w:t xml:space="preserve">Informed and </w:t>
      </w:r>
    </w:p>
    <w:p w14:paraId="248DAB16" w14:textId="77777777" w:rsidR="00BF7F08" w:rsidRPr="00BF7F08" w:rsidRDefault="00BF7F08" w:rsidP="004C3577">
      <w:pPr>
        <w:numPr>
          <w:ilvl w:val="0"/>
          <w:numId w:val="11"/>
        </w:numPr>
        <w:ind w:left="714" w:hanging="357"/>
        <w:contextualSpacing/>
      </w:pPr>
      <w:r w:rsidRPr="00BF7F08">
        <w:t>An unambiguous indication of the data subject’s wishes by which he or she, by a statement or a clear affirmative action, signifies agreement to the processing of personal data relating to him or her.</w:t>
      </w:r>
    </w:p>
    <w:p w14:paraId="69E94222" w14:textId="77777777" w:rsidR="00BF7F08" w:rsidRPr="00BF7F08" w:rsidRDefault="00BF7F08" w:rsidP="00BF7F08">
      <w:r w:rsidRPr="00BF7F08">
        <w:t xml:space="preserve">All of the above points must be satisfied for the consent to be valid. A data subject must also be able to withdraw consent as easily as they provided it, at no detriment to them. </w:t>
      </w:r>
    </w:p>
    <w:p w14:paraId="349AF5B5" w14:textId="6C4B1D0A" w:rsidR="00BF7F08" w:rsidRDefault="00BF7F08" w:rsidP="00BF7F08">
      <w:r w:rsidRPr="00BF7F08">
        <w:t xml:space="preserve">Further guidance is provided on the </w:t>
      </w:r>
      <w:r w:rsidRPr="00BF7F08">
        <w:rPr>
          <w:color w:val="0000FF"/>
          <w:u w:val="single"/>
        </w:rPr>
        <w:t>Information Commissioner's Office website - Consent Guidance</w:t>
      </w:r>
      <w:r w:rsidRPr="00BF7F08">
        <w:t xml:space="preserve"> and should be read when considering using consent as the condition for processing.</w:t>
      </w:r>
    </w:p>
    <w:p w14:paraId="664D1454" w14:textId="4BE6F8C9" w:rsidR="00BF7F08" w:rsidRPr="00BF7F08" w:rsidRDefault="002D7218" w:rsidP="002D7218">
      <w:pPr>
        <w:pStyle w:val="Heading2"/>
      </w:pPr>
      <w:bookmarkStart w:id="29" w:name="_Toc189822232"/>
      <w:bookmarkStart w:id="30" w:name="_Toc203466129"/>
      <w:bookmarkStart w:id="31" w:name="_Toc204850189"/>
      <w:r>
        <w:t>8.</w:t>
      </w:r>
      <w:r w:rsidR="00BF7F08">
        <w:t xml:space="preserve"> </w:t>
      </w:r>
      <w:r w:rsidR="00BF7F08" w:rsidRPr="00BF7F08">
        <w:t>Lawfulness of Processing – Law Enforcement</w:t>
      </w:r>
      <w:bookmarkEnd w:id="29"/>
      <w:bookmarkEnd w:id="30"/>
      <w:bookmarkEnd w:id="31"/>
    </w:p>
    <w:p w14:paraId="3611BC73" w14:textId="495ED250" w:rsidR="00BF7F08" w:rsidRPr="00BF7F08" w:rsidRDefault="00BF7F08" w:rsidP="00BF7F08">
      <w:r w:rsidRPr="00BF7F08">
        <w:rPr>
          <w:color w:val="0000FF"/>
          <w:u w:val="single"/>
        </w:rPr>
        <w:t>Section 35</w:t>
      </w:r>
      <w:r w:rsidRPr="00BF7F08">
        <w:t xml:space="preserve"> of the Act states that processing personal data for law enforcement purposes must be lawful and fair, and that it will be lawful only to the extent that it is based on law and either:</w:t>
      </w:r>
    </w:p>
    <w:p w14:paraId="61774AC3" w14:textId="77777777" w:rsidR="00BF7F08" w:rsidRPr="00BF7F08" w:rsidRDefault="00BF7F08" w:rsidP="004C3577">
      <w:pPr>
        <w:numPr>
          <w:ilvl w:val="0"/>
          <w:numId w:val="12"/>
        </w:numPr>
        <w:contextualSpacing/>
        <w:rPr>
          <w:rFonts w:eastAsia="Times New Roman"/>
          <w:szCs w:val="24"/>
        </w:rPr>
      </w:pPr>
      <w:r w:rsidRPr="00BF7F08">
        <w:rPr>
          <w:rFonts w:eastAsia="Times New Roman"/>
          <w:szCs w:val="24"/>
        </w:rPr>
        <w:t>the data subject has given consent to the processing for that purpose, or</w:t>
      </w:r>
    </w:p>
    <w:p w14:paraId="387C0384" w14:textId="77777777" w:rsidR="00BF7F08" w:rsidRPr="00BF7F08" w:rsidRDefault="00BF7F08" w:rsidP="004C3577">
      <w:pPr>
        <w:numPr>
          <w:ilvl w:val="0"/>
          <w:numId w:val="12"/>
        </w:numPr>
        <w:contextualSpacing/>
        <w:rPr>
          <w:rFonts w:eastAsia="Times New Roman"/>
          <w:szCs w:val="24"/>
        </w:rPr>
      </w:pPr>
      <w:r w:rsidRPr="00BF7F08">
        <w:rPr>
          <w:rFonts w:eastAsia="Times New Roman"/>
          <w:szCs w:val="24"/>
        </w:rPr>
        <w:t xml:space="preserve">the processing is necessary for the performance of a task carried out for that purpose by a competent authority. </w:t>
      </w:r>
    </w:p>
    <w:p w14:paraId="089FAF48" w14:textId="77777777" w:rsidR="00BF7F08" w:rsidRPr="00BF7F08" w:rsidRDefault="00BF7F08" w:rsidP="00BF7F08">
      <w:r w:rsidRPr="00BF7F08">
        <w:t xml:space="preserve">In addition, when the processing is of sensitive personal data, the processing is only permitted in one of two cases. </w:t>
      </w:r>
    </w:p>
    <w:p w14:paraId="711405D7" w14:textId="0D93407F" w:rsidR="00BF7F08" w:rsidRPr="00BF7F08" w:rsidRDefault="00BF7F08" w:rsidP="00BF7F08">
      <w:r w:rsidRPr="00BF7F08">
        <w:t xml:space="preserve">These are that the data subject has given consent to the </w:t>
      </w:r>
      <w:proofErr w:type="gramStart"/>
      <w:r w:rsidRPr="00BF7F08">
        <w:t>processing</w:t>
      </w:r>
      <w:proofErr w:type="gramEnd"/>
      <w:r w:rsidRPr="00BF7F08">
        <w:t xml:space="preserve"> or the processing is strictly necessary for law enforcement purposes, and the processing meets at least one of the conditions in </w:t>
      </w:r>
      <w:r w:rsidRPr="00BF7F08">
        <w:rPr>
          <w:color w:val="0000FF"/>
          <w:u w:val="single"/>
        </w:rPr>
        <w:t>Schedule 8</w:t>
      </w:r>
      <w:r w:rsidRPr="00BF7F08">
        <w:t xml:space="preserve">. </w:t>
      </w:r>
    </w:p>
    <w:p w14:paraId="2830FB26" w14:textId="77777777" w:rsidR="00BF7F08" w:rsidRPr="00BF7F08" w:rsidRDefault="00BF7F08" w:rsidP="00BF7F08">
      <w:r w:rsidRPr="00BF7F08">
        <w:lastRenderedPageBreak/>
        <w:t>For both of these conditions, at the time the processing is carried out an Appropriate Policy Document (APD) must be in place.</w:t>
      </w:r>
    </w:p>
    <w:p w14:paraId="7A1FA5F6" w14:textId="77777777" w:rsidR="00BF7F08" w:rsidRPr="00BF7F08" w:rsidRDefault="00BF7F08" w:rsidP="00BF7F08">
      <w:r w:rsidRPr="00BF7F08">
        <w:t xml:space="preserve">Police Scotland has the following APDs in place: </w:t>
      </w:r>
    </w:p>
    <w:p w14:paraId="2B2EC14F" w14:textId="2B27E465" w:rsidR="00BF7F08" w:rsidRPr="00BF7F08" w:rsidRDefault="00BF7F08" w:rsidP="004C3577">
      <w:pPr>
        <w:numPr>
          <w:ilvl w:val="0"/>
          <w:numId w:val="13"/>
        </w:numPr>
        <w:contextualSpacing/>
        <w:rPr>
          <w:rFonts w:eastAsia="Times New Roman"/>
          <w:szCs w:val="24"/>
        </w:rPr>
      </w:pPr>
      <w:r w:rsidRPr="00BF7F08">
        <w:rPr>
          <w:rFonts w:eastAsia="Times New Roman"/>
          <w:color w:val="0000FF"/>
          <w:szCs w:val="24"/>
          <w:u w:val="single"/>
        </w:rPr>
        <w:t>APD Law Enforcement</w:t>
      </w:r>
    </w:p>
    <w:p w14:paraId="3BBABFC1" w14:textId="1BA2ADB1" w:rsidR="00BF7F08" w:rsidRPr="00BF7F08" w:rsidRDefault="00BF7F08" w:rsidP="004C3577">
      <w:pPr>
        <w:numPr>
          <w:ilvl w:val="0"/>
          <w:numId w:val="13"/>
        </w:numPr>
        <w:contextualSpacing/>
        <w:rPr>
          <w:rFonts w:eastAsia="Times New Roman"/>
          <w:szCs w:val="24"/>
        </w:rPr>
      </w:pPr>
      <w:r w:rsidRPr="00BF7F08">
        <w:rPr>
          <w:rFonts w:eastAsia="Times New Roman"/>
          <w:color w:val="0000FF"/>
          <w:szCs w:val="24"/>
          <w:u w:val="single"/>
        </w:rPr>
        <w:t xml:space="preserve">APD </w:t>
      </w:r>
      <w:proofErr w:type="gramStart"/>
      <w:r w:rsidRPr="00BF7F08">
        <w:rPr>
          <w:rFonts w:eastAsia="Times New Roman"/>
          <w:color w:val="0000FF"/>
          <w:szCs w:val="24"/>
          <w:u w:val="single"/>
        </w:rPr>
        <w:t>Non Law</w:t>
      </w:r>
      <w:proofErr w:type="gramEnd"/>
      <w:r w:rsidRPr="00BF7F08">
        <w:rPr>
          <w:rFonts w:eastAsia="Times New Roman"/>
          <w:color w:val="0000FF"/>
          <w:szCs w:val="24"/>
          <w:u w:val="single"/>
        </w:rPr>
        <w:t xml:space="preserve"> Enforcement</w:t>
      </w:r>
    </w:p>
    <w:p w14:paraId="065B109B" w14:textId="5ADACD14" w:rsidR="00BF7F08" w:rsidRDefault="00BF7F08" w:rsidP="00BF7F08">
      <w:r w:rsidRPr="00BF7F08">
        <w:t xml:space="preserve">The lawful basis for processing for law enforcement purposes will often come from </w:t>
      </w:r>
      <w:r w:rsidRPr="00BF7F08">
        <w:rPr>
          <w:color w:val="0000FF"/>
          <w:u w:val="single"/>
        </w:rPr>
        <w:t>Section 20</w:t>
      </w:r>
      <w:r w:rsidRPr="00BF7F08">
        <w:t xml:space="preserve"> (duties of a Constable), and </w:t>
      </w:r>
      <w:r w:rsidRPr="00BF7F08">
        <w:rPr>
          <w:color w:val="0000FF"/>
          <w:u w:val="single"/>
        </w:rPr>
        <w:t>Section 32</w:t>
      </w:r>
      <w:r w:rsidRPr="00BF7F08">
        <w:t xml:space="preserve"> (Policing principles) of the </w:t>
      </w:r>
      <w:r w:rsidRPr="00BF7F08">
        <w:rPr>
          <w:color w:val="0000FF"/>
          <w:u w:val="single"/>
        </w:rPr>
        <w:t>Police and Fire Reform (Scotland) Act 2012</w:t>
      </w:r>
      <w:r w:rsidRPr="00BF7F08">
        <w:t>. However, other legislation may also apply to the specific circumstances.</w:t>
      </w:r>
    </w:p>
    <w:p w14:paraId="6EF55BB1" w14:textId="74BA065E" w:rsidR="0054709B" w:rsidRPr="007E4311" w:rsidRDefault="0054709B" w:rsidP="004C3577">
      <w:pPr>
        <w:pStyle w:val="Heading2"/>
        <w:numPr>
          <w:ilvl w:val="0"/>
          <w:numId w:val="2"/>
        </w:numPr>
        <w:rPr>
          <w:rStyle w:val="Heading2Char"/>
          <w:b/>
        </w:rPr>
      </w:pPr>
      <w:bookmarkStart w:id="32" w:name="_Toc189822233"/>
      <w:r>
        <w:rPr>
          <w:rStyle w:val="Heading2Char"/>
          <w:b/>
        </w:rPr>
        <w:t xml:space="preserve"> </w:t>
      </w:r>
      <w:bookmarkStart w:id="33" w:name="_Toc203466130"/>
      <w:bookmarkStart w:id="34" w:name="_Toc204850190"/>
      <w:r w:rsidRPr="007E4311">
        <w:rPr>
          <w:rStyle w:val="Heading2Char"/>
          <w:b/>
        </w:rPr>
        <w:t>Use of Consent for Processing – Law Enforcement</w:t>
      </w:r>
      <w:bookmarkEnd w:id="32"/>
      <w:bookmarkEnd w:id="33"/>
      <w:bookmarkEnd w:id="34"/>
    </w:p>
    <w:p w14:paraId="55CB9A26" w14:textId="77777777" w:rsidR="0054709B" w:rsidRDefault="0054709B" w:rsidP="0054709B">
      <w:r>
        <w:t>It is envisaged that using consent for law enforcement purposes will be relatively rare e.g. biometric data (which includes fingerprints) or biological samples, (blood, urine, saliva etc.) for elimination purposes.</w:t>
      </w:r>
    </w:p>
    <w:p w14:paraId="7EE57F97" w14:textId="77777777" w:rsidR="0054709B" w:rsidRDefault="0054709B" w:rsidP="0054709B">
      <w:r>
        <w:t xml:space="preserve">When it does occur, the data subject must be informed in a clear and unambiguous manner about the voluntary nature of their agreement and must be given the possibility to withdraw it at any time. </w:t>
      </w:r>
    </w:p>
    <w:p w14:paraId="455CB140" w14:textId="77777777" w:rsidR="0054709B" w:rsidRDefault="0054709B" w:rsidP="0054709B">
      <w:r>
        <w:t>If the data subject does withdraw consent, then the samples must be destroyed unless there is another legal basis for retaining them.</w:t>
      </w:r>
    </w:p>
    <w:p w14:paraId="6DD7B7DA" w14:textId="3D0ED887" w:rsidR="0054709B" w:rsidRDefault="0054709B" w:rsidP="0054709B">
      <w:r>
        <w:t xml:space="preserve">The consent of a data </w:t>
      </w:r>
      <w:r w:rsidRPr="00D043AE">
        <w:t>subject must be</w:t>
      </w:r>
      <w:r>
        <w:t xml:space="preserve"> recorded </w:t>
      </w:r>
      <w:r w:rsidRPr="00D043AE">
        <w:t>and be subject of periodic review.</w:t>
      </w:r>
    </w:p>
    <w:p w14:paraId="1C6D4987" w14:textId="4E773DC3" w:rsidR="0054709B" w:rsidRPr="0054709B" w:rsidRDefault="0054709B" w:rsidP="00A7764C">
      <w:pPr>
        <w:pStyle w:val="Heading2"/>
        <w:numPr>
          <w:ilvl w:val="0"/>
          <w:numId w:val="28"/>
        </w:numPr>
        <w:ind w:left="448" w:hanging="448"/>
      </w:pPr>
      <w:bookmarkStart w:id="35" w:name="_Toc189822234"/>
      <w:bookmarkStart w:id="36" w:name="_Toc203466131"/>
      <w:bookmarkStart w:id="37" w:name="_Toc204850191"/>
      <w:r w:rsidRPr="0054709B">
        <w:t>Use of Law Enforcement Personal Data for a Non-Law Enforcement Purpose</w:t>
      </w:r>
      <w:bookmarkEnd w:id="35"/>
      <w:bookmarkEnd w:id="36"/>
      <w:bookmarkEnd w:id="37"/>
    </w:p>
    <w:p w14:paraId="27AA740C" w14:textId="52A00668" w:rsidR="0054709B" w:rsidRPr="0054709B" w:rsidRDefault="0054709B" w:rsidP="0054709B">
      <w:r w:rsidRPr="0054709B">
        <w:rPr>
          <w:color w:val="0000FF"/>
          <w:u w:val="single"/>
        </w:rPr>
        <w:t>Section 36</w:t>
      </w:r>
      <w:r w:rsidRPr="0054709B">
        <w:t xml:space="preserve"> of the Act states that personal data collected for a law enforcement purpose may not be used for any other purpose unless that use is authorised by law.</w:t>
      </w:r>
    </w:p>
    <w:p w14:paraId="5132A615" w14:textId="11846697" w:rsidR="0054709B" w:rsidRPr="0054709B" w:rsidRDefault="0054709B" w:rsidP="0054709B">
      <w:r w:rsidRPr="0054709B">
        <w:t xml:space="preserve">This means that an </w:t>
      </w:r>
      <w:r w:rsidRPr="0054709B">
        <w:rPr>
          <w:color w:val="0000FF"/>
          <w:u w:val="single"/>
        </w:rPr>
        <w:t>Article 6</w:t>
      </w:r>
      <w:r w:rsidRPr="0054709B">
        <w:t xml:space="preserve"> and, where appropriate, an </w:t>
      </w:r>
      <w:r w:rsidRPr="0054709B">
        <w:rPr>
          <w:color w:val="0000FF"/>
          <w:u w:val="single"/>
        </w:rPr>
        <w:t>Article 9</w:t>
      </w:r>
      <w:r w:rsidRPr="0054709B">
        <w:t xml:space="preserve"> condition must be satisfied, and a compatibility test carried out as detailed in </w:t>
      </w:r>
      <w:r w:rsidRPr="0054709B">
        <w:rPr>
          <w:color w:val="0000FF"/>
          <w:u w:val="single"/>
        </w:rPr>
        <w:t>Article 6.4</w:t>
      </w:r>
      <w:r w:rsidRPr="0054709B">
        <w:t xml:space="preserve"> of the GDPR.</w:t>
      </w:r>
    </w:p>
    <w:p w14:paraId="4BFF03D5" w14:textId="77777777" w:rsidR="0054709B" w:rsidRDefault="0054709B" w:rsidP="0054709B"/>
    <w:p w14:paraId="1BF31857" w14:textId="30F47F13" w:rsidR="0054709B" w:rsidRPr="0054709B" w:rsidRDefault="00A7764C" w:rsidP="00A7764C">
      <w:pPr>
        <w:pStyle w:val="Heading2"/>
        <w:numPr>
          <w:ilvl w:val="0"/>
          <w:numId w:val="28"/>
        </w:numPr>
        <w:ind w:left="448" w:hanging="448"/>
      </w:pPr>
      <w:bookmarkStart w:id="38" w:name="_Toc189822235"/>
      <w:bookmarkStart w:id="39" w:name="_Toc203466132"/>
      <w:r>
        <w:lastRenderedPageBreak/>
        <w:t xml:space="preserve"> </w:t>
      </w:r>
      <w:bookmarkStart w:id="40" w:name="_Toc204850192"/>
      <w:r w:rsidR="0054709B" w:rsidRPr="0054709B">
        <w:t>Privacy Notices</w:t>
      </w:r>
      <w:bookmarkEnd w:id="38"/>
      <w:bookmarkEnd w:id="39"/>
      <w:bookmarkEnd w:id="40"/>
    </w:p>
    <w:p w14:paraId="57F991C7" w14:textId="77777777" w:rsidR="0054709B" w:rsidRPr="0054709B" w:rsidRDefault="0054709B" w:rsidP="0054709B">
      <w:r w:rsidRPr="0054709B">
        <w:t>Police Scotland is required to provide information to data subjects with regards to how their data will be processed.</w:t>
      </w:r>
    </w:p>
    <w:p w14:paraId="1C5A66C5" w14:textId="64A5F9A3" w:rsidR="0054709B" w:rsidRPr="0054709B" w:rsidRDefault="0054709B" w:rsidP="0054709B">
      <w:r w:rsidRPr="0054709B">
        <w:t xml:space="preserve">This is done by the means of a privacy notice. </w:t>
      </w:r>
      <w:r w:rsidRPr="0054709B">
        <w:rPr>
          <w:color w:val="0000FF"/>
          <w:u w:val="single"/>
        </w:rPr>
        <w:t>Article 13</w:t>
      </w:r>
      <w:r w:rsidRPr="0054709B">
        <w:t xml:space="preserve"> of the GDPR and </w:t>
      </w:r>
      <w:r w:rsidRPr="0054709B">
        <w:rPr>
          <w:color w:val="0000FF"/>
          <w:u w:val="single"/>
        </w:rPr>
        <w:t>Section 44</w:t>
      </w:r>
      <w:r w:rsidRPr="0054709B">
        <w:t xml:space="preserve"> of the Act provides details of what must be included in the notices. Police Scotland Privacy Notices are published on the Force website and as Force forms with the prefix </w:t>
      </w:r>
      <w:r w:rsidRPr="0054709B">
        <w:rPr>
          <w:color w:val="0000FF"/>
          <w:u w:val="single"/>
        </w:rPr>
        <w:t>081-008</w:t>
      </w:r>
      <w:r w:rsidRPr="0054709B">
        <w:t>.</w:t>
      </w:r>
    </w:p>
    <w:p w14:paraId="5325677C" w14:textId="77777777" w:rsidR="0054709B" w:rsidRPr="0054709B" w:rsidRDefault="0054709B" w:rsidP="0054709B">
      <w:r w:rsidRPr="0054709B">
        <w:t>When considering processing personal data for a purpose that is not already covered by a privacy notice, then either a current notice must be updated, or a new notice drafted.</w:t>
      </w:r>
    </w:p>
    <w:p w14:paraId="5CFFEAAB" w14:textId="77777777" w:rsidR="0054709B" w:rsidRPr="0054709B" w:rsidRDefault="0054709B" w:rsidP="0054709B">
      <w:r w:rsidRPr="0054709B">
        <w:t>Information on how to do this can be obtained from Information Assurance.</w:t>
      </w:r>
    </w:p>
    <w:p w14:paraId="60DA8E2A" w14:textId="77777777" w:rsidR="0054709B" w:rsidRPr="0054709B" w:rsidRDefault="0054709B" w:rsidP="0054709B">
      <w:pPr>
        <w:shd w:val="clear" w:color="auto" w:fill="FFFFFF"/>
        <w:rPr>
          <w:rFonts w:eastAsia="Times New Roman" w:cs="Arial"/>
          <w:color w:val="1E1E1E"/>
          <w:szCs w:val="24"/>
        </w:rPr>
      </w:pPr>
      <w:r w:rsidRPr="0054709B">
        <w:rPr>
          <w:rFonts w:eastAsia="Times New Roman" w:cs="Arial"/>
          <w:color w:val="1E1E1E"/>
          <w:szCs w:val="24"/>
        </w:rPr>
        <w:t>Police Scotland (Controller) may restrict, wholly or partly, the provision of information to the data subject to the extent that and for so long as the restriction is, having regard to the fundamental rights and legitimate interests of the data subject, a necessary and proportionate measure to:</w:t>
      </w:r>
    </w:p>
    <w:p w14:paraId="3B8CDE9D" w14:textId="77777777" w:rsidR="0054709B" w:rsidRPr="0054709B" w:rsidRDefault="0054709B" w:rsidP="004C3577">
      <w:pPr>
        <w:numPr>
          <w:ilvl w:val="0"/>
          <w:numId w:val="14"/>
        </w:numPr>
        <w:shd w:val="clear" w:color="auto" w:fill="FFFFFF"/>
        <w:rPr>
          <w:rFonts w:eastAsia="Times New Roman" w:cs="Arial"/>
          <w:color w:val="1E1E1E"/>
          <w:szCs w:val="24"/>
        </w:rPr>
      </w:pPr>
      <w:r w:rsidRPr="0054709B">
        <w:rPr>
          <w:rFonts w:eastAsia="Times New Roman" w:cs="Arial"/>
          <w:color w:val="1E1E1E"/>
          <w:szCs w:val="24"/>
        </w:rPr>
        <w:t>Avoid obstructing an official or legal inquiry, investigation or procedure.</w:t>
      </w:r>
    </w:p>
    <w:p w14:paraId="26450275" w14:textId="77777777" w:rsidR="0054709B" w:rsidRPr="0054709B" w:rsidRDefault="0054709B" w:rsidP="004C3577">
      <w:pPr>
        <w:numPr>
          <w:ilvl w:val="0"/>
          <w:numId w:val="14"/>
        </w:numPr>
        <w:shd w:val="clear" w:color="auto" w:fill="FFFFFF"/>
        <w:contextualSpacing/>
        <w:rPr>
          <w:rFonts w:eastAsia="Times New Roman" w:cs="Arial"/>
          <w:color w:val="1E1E1E"/>
          <w:szCs w:val="24"/>
        </w:rPr>
      </w:pPr>
      <w:r w:rsidRPr="0054709B">
        <w:rPr>
          <w:rFonts w:eastAsia="Times New Roman" w:cs="Arial"/>
          <w:color w:val="1E1E1E"/>
          <w:szCs w:val="24"/>
        </w:rPr>
        <w:t>Avoid prejudicing the prevention, detection, investigation or prosecution of criminal offences or the execution of criminal penalties.</w:t>
      </w:r>
    </w:p>
    <w:p w14:paraId="407BF8AD" w14:textId="77777777" w:rsidR="0054709B" w:rsidRPr="0054709B" w:rsidRDefault="0054709B" w:rsidP="004C3577">
      <w:pPr>
        <w:numPr>
          <w:ilvl w:val="0"/>
          <w:numId w:val="14"/>
        </w:numPr>
        <w:shd w:val="clear" w:color="auto" w:fill="FFFFFF"/>
        <w:contextualSpacing/>
        <w:rPr>
          <w:rFonts w:eastAsia="Times New Roman" w:cs="Arial"/>
          <w:color w:val="1E1E1E"/>
          <w:szCs w:val="24"/>
        </w:rPr>
      </w:pPr>
      <w:r w:rsidRPr="0054709B">
        <w:rPr>
          <w:rFonts w:eastAsia="Times New Roman" w:cs="Arial"/>
          <w:color w:val="1E1E1E"/>
          <w:szCs w:val="24"/>
        </w:rPr>
        <w:t>Protect public security.</w:t>
      </w:r>
    </w:p>
    <w:p w14:paraId="6EFFEB32" w14:textId="77777777" w:rsidR="0054709B" w:rsidRPr="0054709B" w:rsidRDefault="0054709B" w:rsidP="004C3577">
      <w:pPr>
        <w:numPr>
          <w:ilvl w:val="0"/>
          <w:numId w:val="14"/>
        </w:numPr>
        <w:shd w:val="clear" w:color="auto" w:fill="FFFFFF"/>
        <w:contextualSpacing/>
        <w:rPr>
          <w:rFonts w:eastAsia="Times New Roman" w:cs="Arial"/>
          <w:color w:val="1E1E1E"/>
          <w:szCs w:val="24"/>
        </w:rPr>
      </w:pPr>
      <w:r w:rsidRPr="0054709B">
        <w:rPr>
          <w:rFonts w:eastAsia="Times New Roman" w:cs="Arial"/>
          <w:color w:val="1E1E1E"/>
          <w:szCs w:val="24"/>
        </w:rPr>
        <w:t>Protect national security.</w:t>
      </w:r>
    </w:p>
    <w:p w14:paraId="6AEEE202" w14:textId="77777777" w:rsidR="0054709B" w:rsidRPr="0054709B" w:rsidRDefault="0054709B" w:rsidP="004C3577">
      <w:pPr>
        <w:numPr>
          <w:ilvl w:val="0"/>
          <w:numId w:val="14"/>
        </w:numPr>
        <w:shd w:val="clear" w:color="auto" w:fill="FFFFFF"/>
        <w:contextualSpacing/>
        <w:rPr>
          <w:rFonts w:eastAsia="Times New Roman" w:cs="Arial"/>
          <w:color w:val="1E1E1E"/>
          <w:szCs w:val="24"/>
        </w:rPr>
      </w:pPr>
      <w:r w:rsidRPr="0054709B">
        <w:rPr>
          <w:rFonts w:eastAsia="Times New Roman" w:cs="Arial"/>
          <w:color w:val="1E1E1E"/>
          <w:szCs w:val="24"/>
        </w:rPr>
        <w:t>Protect the rights and freedoms of others.</w:t>
      </w:r>
    </w:p>
    <w:p w14:paraId="696168E0" w14:textId="77777777" w:rsidR="0054709B" w:rsidRPr="0054709B" w:rsidRDefault="0054709B" w:rsidP="0054709B">
      <w:pPr>
        <w:shd w:val="clear" w:color="auto" w:fill="FFFFFF"/>
        <w:rPr>
          <w:rFonts w:eastAsia="Times New Roman" w:cs="Arial"/>
          <w:color w:val="1E1E1E"/>
          <w:szCs w:val="24"/>
        </w:rPr>
      </w:pPr>
      <w:r w:rsidRPr="0054709B">
        <w:rPr>
          <w:rFonts w:eastAsia="Times New Roman" w:cs="Arial"/>
          <w:color w:val="1E1E1E"/>
          <w:szCs w:val="24"/>
        </w:rPr>
        <w:t>Where the provision of information to a data subject is restricted, wholly or partly, the Controller must inform the data subject in writing without undue delay:</w:t>
      </w:r>
    </w:p>
    <w:p w14:paraId="590146D8" w14:textId="77777777" w:rsidR="0054709B" w:rsidRPr="0054709B" w:rsidRDefault="0054709B" w:rsidP="004C3577">
      <w:pPr>
        <w:numPr>
          <w:ilvl w:val="0"/>
          <w:numId w:val="15"/>
        </w:numPr>
        <w:shd w:val="clear" w:color="auto" w:fill="FFFFFF"/>
        <w:rPr>
          <w:rFonts w:ascii="Times New Roman" w:eastAsia="Times New Roman" w:hAnsi="Times New Roman" w:cs="Arial"/>
          <w:color w:val="1E1E1E"/>
          <w:szCs w:val="24"/>
        </w:rPr>
      </w:pPr>
      <w:r w:rsidRPr="0054709B">
        <w:rPr>
          <w:rFonts w:eastAsia="Times New Roman" w:cs="Arial"/>
          <w:color w:val="1E1E1E"/>
          <w:szCs w:val="24"/>
        </w:rPr>
        <w:t xml:space="preserve">That the provision of information has been restricted, </w:t>
      </w:r>
      <w:bookmarkStart w:id="41" w:name="_Hlk189492849"/>
      <w:r w:rsidRPr="0054709B">
        <w:rPr>
          <w:rFonts w:eastAsia="Times New Roman" w:cs="Arial"/>
          <w:color w:val="1E1E1E"/>
          <w:szCs w:val="24"/>
        </w:rPr>
        <w:t>(the Controller is not required to provide this information to the extent that the provision of the information would undermine the purpose of the restriction).</w:t>
      </w:r>
      <w:bookmarkEnd w:id="41"/>
    </w:p>
    <w:p w14:paraId="2107B4C5" w14:textId="77777777" w:rsidR="0054709B" w:rsidRPr="0054709B" w:rsidRDefault="0054709B" w:rsidP="004C3577">
      <w:pPr>
        <w:numPr>
          <w:ilvl w:val="0"/>
          <w:numId w:val="15"/>
        </w:numPr>
        <w:shd w:val="clear" w:color="auto" w:fill="FFFFFF"/>
        <w:contextualSpacing/>
        <w:rPr>
          <w:rFonts w:ascii="Times New Roman" w:eastAsia="Times New Roman" w:hAnsi="Times New Roman" w:cs="Arial"/>
          <w:color w:val="1E1E1E"/>
          <w:szCs w:val="24"/>
        </w:rPr>
      </w:pPr>
      <w:r w:rsidRPr="0054709B">
        <w:rPr>
          <w:rFonts w:eastAsia="Times New Roman" w:cs="Arial"/>
          <w:color w:val="1E1E1E"/>
          <w:szCs w:val="24"/>
        </w:rPr>
        <w:t>Of the reasons for the restriction,</w:t>
      </w:r>
      <w:r w:rsidRPr="0054709B">
        <w:rPr>
          <w:rFonts w:ascii="Times New Roman" w:eastAsia="Times New Roman" w:hAnsi="Times New Roman"/>
          <w:szCs w:val="24"/>
        </w:rPr>
        <w:t xml:space="preserve"> </w:t>
      </w:r>
      <w:r w:rsidRPr="0054709B">
        <w:rPr>
          <w:rFonts w:eastAsia="Times New Roman" w:cs="Arial"/>
          <w:color w:val="1E1E1E"/>
          <w:szCs w:val="24"/>
        </w:rPr>
        <w:t>(the Controller is not required to provide this information to the extent that the provision of the information would undermine the purpose of the restriction).</w:t>
      </w:r>
    </w:p>
    <w:p w14:paraId="3FAEBD69" w14:textId="56567468" w:rsidR="0054709B" w:rsidRPr="0054709B" w:rsidRDefault="0054709B" w:rsidP="004C3577">
      <w:pPr>
        <w:numPr>
          <w:ilvl w:val="0"/>
          <w:numId w:val="15"/>
        </w:numPr>
        <w:shd w:val="clear" w:color="auto" w:fill="FFFFFF"/>
        <w:contextualSpacing/>
        <w:rPr>
          <w:rFonts w:ascii="Times New Roman" w:eastAsia="Times New Roman" w:hAnsi="Times New Roman" w:cs="Arial"/>
          <w:color w:val="1E1E1E"/>
          <w:szCs w:val="24"/>
        </w:rPr>
      </w:pPr>
      <w:r w:rsidRPr="0054709B">
        <w:rPr>
          <w:rFonts w:eastAsia="Times New Roman" w:cs="Arial"/>
          <w:color w:val="1E1E1E"/>
          <w:szCs w:val="24"/>
        </w:rPr>
        <w:lastRenderedPageBreak/>
        <w:t xml:space="preserve">Of the data subject’s right to make a request to the Commissioner under </w:t>
      </w:r>
      <w:r w:rsidRPr="0054709B">
        <w:rPr>
          <w:rFonts w:eastAsia="Times New Roman" w:cs="Arial"/>
          <w:color w:val="0000FF"/>
          <w:szCs w:val="24"/>
          <w:u w:val="single"/>
        </w:rPr>
        <w:t>section 51.</w:t>
      </w:r>
    </w:p>
    <w:p w14:paraId="2DA548CD" w14:textId="77777777" w:rsidR="0054709B" w:rsidRPr="0054709B" w:rsidRDefault="0054709B" w:rsidP="004C3577">
      <w:pPr>
        <w:numPr>
          <w:ilvl w:val="0"/>
          <w:numId w:val="15"/>
        </w:numPr>
        <w:shd w:val="clear" w:color="auto" w:fill="FFFFFF"/>
        <w:contextualSpacing/>
        <w:rPr>
          <w:rFonts w:ascii="Times New Roman" w:eastAsia="Times New Roman" w:hAnsi="Times New Roman" w:cs="Arial"/>
          <w:color w:val="1E1E1E"/>
          <w:szCs w:val="24"/>
        </w:rPr>
      </w:pPr>
      <w:r w:rsidRPr="0054709B">
        <w:rPr>
          <w:rFonts w:eastAsia="Times New Roman" w:cs="Arial"/>
          <w:color w:val="1E1E1E"/>
          <w:szCs w:val="24"/>
        </w:rPr>
        <w:t>Of the data subject’s right to lodge a complaint with the Commissioner, and</w:t>
      </w:r>
    </w:p>
    <w:p w14:paraId="38E6AA47" w14:textId="19D113D2" w:rsidR="0054709B" w:rsidRPr="0054709B" w:rsidRDefault="0054709B" w:rsidP="004C3577">
      <w:pPr>
        <w:numPr>
          <w:ilvl w:val="0"/>
          <w:numId w:val="15"/>
        </w:numPr>
        <w:shd w:val="clear" w:color="auto" w:fill="FFFFFF"/>
        <w:contextualSpacing/>
        <w:rPr>
          <w:rFonts w:ascii="Times New Roman" w:eastAsia="Times New Roman" w:hAnsi="Times New Roman" w:cs="Arial"/>
          <w:color w:val="1E1E1E"/>
          <w:szCs w:val="24"/>
        </w:rPr>
      </w:pPr>
      <w:r w:rsidRPr="0054709B">
        <w:rPr>
          <w:rFonts w:eastAsia="Times New Roman" w:cs="Arial"/>
          <w:color w:val="1E1E1E"/>
          <w:szCs w:val="24"/>
        </w:rPr>
        <w:t xml:space="preserve">Of the data subject’s right to apply to a court under </w:t>
      </w:r>
      <w:r w:rsidRPr="0054709B">
        <w:rPr>
          <w:rFonts w:eastAsia="Times New Roman" w:cs="Arial"/>
          <w:color w:val="0000FF"/>
          <w:szCs w:val="24"/>
          <w:u w:val="single"/>
        </w:rPr>
        <w:t>section 167</w:t>
      </w:r>
      <w:r w:rsidRPr="0054709B">
        <w:rPr>
          <w:rFonts w:eastAsia="Times New Roman" w:cs="Arial"/>
          <w:color w:val="1E1E1E"/>
          <w:szCs w:val="24"/>
        </w:rPr>
        <w:t>.</w:t>
      </w:r>
    </w:p>
    <w:p w14:paraId="041F3C6A" w14:textId="77777777" w:rsidR="0054709B" w:rsidRPr="0054709B" w:rsidRDefault="0054709B" w:rsidP="0054709B">
      <w:pPr>
        <w:shd w:val="clear" w:color="auto" w:fill="FFFFFF"/>
        <w:rPr>
          <w:rFonts w:eastAsia="Times New Roman" w:cs="Arial"/>
          <w:color w:val="1E1E1E"/>
          <w:szCs w:val="24"/>
        </w:rPr>
      </w:pPr>
      <w:r w:rsidRPr="0054709B">
        <w:rPr>
          <w:rFonts w:eastAsia="Times New Roman" w:cs="Arial"/>
          <w:color w:val="1E1E1E"/>
          <w:szCs w:val="24"/>
        </w:rPr>
        <w:t>Police Scotland will:</w:t>
      </w:r>
    </w:p>
    <w:p w14:paraId="3D5D6116" w14:textId="77777777" w:rsidR="0054709B" w:rsidRPr="0054709B" w:rsidRDefault="0054709B" w:rsidP="004C3577">
      <w:pPr>
        <w:numPr>
          <w:ilvl w:val="0"/>
          <w:numId w:val="16"/>
        </w:numPr>
        <w:shd w:val="clear" w:color="auto" w:fill="FFFFFF"/>
        <w:rPr>
          <w:rFonts w:eastAsia="Times New Roman" w:cs="Arial"/>
          <w:color w:val="1E1E1E"/>
          <w:szCs w:val="24"/>
        </w:rPr>
      </w:pPr>
      <w:r w:rsidRPr="0054709B">
        <w:rPr>
          <w:rFonts w:eastAsia="Times New Roman" w:cs="Arial"/>
          <w:color w:val="1E1E1E"/>
          <w:szCs w:val="24"/>
        </w:rPr>
        <w:t>Record the reasons for a decision to restrict (whether wholly or partly) the provision of information to a data subject, and</w:t>
      </w:r>
    </w:p>
    <w:p w14:paraId="75336332" w14:textId="440163E5" w:rsidR="0054709B" w:rsidRPr="00BF7F08" w:rsidRDefault="0054709B" w:rsidP="004C3577">
      <w:pPr>
        <w:numPr>
          <w:ilvl w:val="0"/>
          <w:numId w:val="16"/>
        </w:numPr>
        <w:shd w:val="clear" w:color="auto" w:fill="FFFFFF"/>
        <w:contextualSpacing/>
        <w:rPr>
          <w:rFonts w:eastAsia="Times New Roman" w:cs="Arial"/>
          <w:color w:val="1E1E1E"/>
          <w:szCs w:val="24"/>
        </w:rPr>
      </w:pPr>
      <w:r w:rsidRPr="0054709B">
        <w:rPr>
          <w:rFonts w:eastAsia="Times New Roman" w:cs="Arial"/>
          <w:color w:val="1E1E1E"/>
          <w:szCs w:val="24"/>
        </w:rPr>
        <w:t>If requested to do so by the Commissioner, make the record available to the Commissioner.</w:t>
      </w:r>
    </w:p>
    <w:p w14:paraId="68A3A60B" w14:textId="2EBBCA6E" w:rsidR="0054709B" w:rsidRPr="0054709B" w:rsidRDefault="00A7764C" w:rsidP="00A7764C">
      <w:pPr>
        <w:pStyle w:val="Heading2"/>
        <w:numPr>
          <w:ilvl w:val="0"/>
          <w:numId w:val="28"/>
        </w:numPr>
        <w:ind w:left="448" w:hanging="448"/>
      </w:pPr>
      <w:bookmarkStart w:id="42" w:name="_Toc189822236"/>
      <w:bookmarkStart w:id="43" w:name="_Toc203466133"/>
      <w:r>
        <w:t xml:space="preserve"> </w:t>
      </w:r>
      <w:bookmarkStart w:id="44" w:name="_Toc204850193"/>
      <w:r w:rsidR="0054709B" w:rsidRPr="0054709B">
        <w:t>Rights of the Data Subjects</w:t>
      </w:r>
      <w:bookmarkEnd w:id="42"/>
      <w:bookmarkEnd w:id="43"/>
      <w:bookmarkEnd w:id="44"/>
    </w:p>
    <w:p w14:paraId="6925EC1B" w14:textId="6990AE20" w:rsidR="0054709B" w:rsidRPr="0054709B" w:rsidRDefault="0054709B" w:rsidP="0054709B">
      <w:r w:rsidRPr="0054709B">
        <w:t xml:space="preserve">The </w:t>
      </w:r>
      <w:r w:rsidRPr="0054709B">
        <w:rPr>
          <w:color w:val="0000FF"/>
          <w:u w:val="single"/>
        </w:rPr>
        <w:t>GDPR</w:t>
      </w:r>
      <w:r w:rsidRPr="0054709B">
        <w:t xml:space="preserve"> (Articles </w:t>
      </w:r>
      <w:r w:rsidRPr="0054709B">
        <w:rPr>
          <w:color w:val="0000FF"/>
          <w:u w:val="single"/>
        </w:rPr>
        <w:t>15</w:t>
      </w:r>
      <w:r w:rsidRPr="0054709B">
        <w:t xml:space="preserve"> to </w:t>
      </w:r>
      <w:r w:rsidRPr="0054709B">
        <w:rPr>
          <w:color w:val="0000FF"/>
          <w:u w:val="single"/>
        </w:rPr>
        <w:t>19</w:t>
      </w:r>
      <w:r w:rsidRPr="0054709B">
        <w:t xml:space="preserve"> and </w:t>
      </w:r>
      <w:r w:rsidRPr="0054709B">
        <w:rPr>
          <w:color w:val="0000FF"/>
          <w:u w:val="single"/>
        </w:rPr>
        <w:t>21</w:t>
      </w:r>
      <w:r w:rsidRPr="0054709B">
        <w:t xml:space="preserve">) and the Act (Sections </w:t>
      </w:r>
      <w:r w:rsidRPr="0054709B">
        <w:rPr>
          <w:color w:val="0000FF"/>
          <w:u w:val="single"/>
        </w:rPr>
        <w:t>45</w:t>
      </w:r>
      <w:r w:rsidRPr="0054709B">
        <w:t xml:space="preserve"> to </w:t>
      </w:r>
      <w:r w:rsidRPr="0054709B">
        <w:rPr>
          <w:color w:val="0000FF"/>
          <w:u w:val="single"/>
        </w:rPr>
        <w:t>47</w:t>
      </w:r>
      <w:r w:rsidRPr="0054709B">
        <w:t xml:space="preserve">) confer a number of rights on the data subjects. </w:t>
      </w:r>
    </w:p>
    <w:p w14:paraId="6EDFA82A" w14:textId="77777777" w:rsidR="0054709B" w:rsidRPr="0054709B" w:rsidRDefault="0054709B" w:rsidP="0054709B">
      <w:r w:rsidRPr="0054709B">
        <w:t>These rights are:</w:t>
      </w:r>
    </w:p>
    <w:p w14:paraId="154343BA" w14:textId="77777777" w:rsidR="0054709B" w:rsidRPr="0054709B" w:rsidRDefault="0054709B" w:rsidP="004C3577">
      <w:pPr>
        <w:numPr>
          <w:ilvl w:val="0"/>
          <w:numId w:val="17"/>
        </w:numPr>
        <w:ind w:left="714" w:hanging="357"/>
      </w:pPr>
      <w:r w:rsidRPr="0054709B">
        <w:t>Right of access to their personal data held by Police Scotland by means of a Subject Access Request (SAR). There are certain exemptions to what will be disclosed to the data subject.</w:t>
      </w:r>
    </w:p>
    <w:p w14:paraId="508A02C6" w14:textId="77777777" w:rsidR="0054709B" w:rsidRPr="0054709B" w:rsidRDefault="0054709B" w:rsidP="004C3577">
      <w:pPr>
        <w:numPr>
          <w:ilvl w:val="0"/>
          <w:numId w:val="17"/>
        </w:numPr>
        <w:ind w:left="714" w:hanging="357"/>
        <w:contextualSpacing/>
      </w:pPr>
      <w:r w:rsidRPr="0054709B">
        <w:t xml:space="preserve">Right to have inaccurate data rectified, this includes having incomplete personal data completed. </w:t>
      </w:r>
    </w:p>
    <w:p w14:paraId="5999355A" w14:textId="77777777" w:rsidR="0054709B" w:rsidRPr="0054709B" w:rsidRDefault="0054709B" w:rsidP="004C3577">
      <w:pPr>
        <w:numPr>
          <w:ilvl w:val="0"/>
          <w:numId w:val="17"/>
        </w:numPr>
        <w:ind w:left="714" w:hanging="357"/>
        <w:contextualSpacing/>
      </w:pPr>
      <w:r w:rsidRPr="0054709B">
        <w:t>Right to erasure of personal data (‘right to be forgotten’). This is particularly important when the processing has been based on the consent of the data subject.</w:t>
      </w:r>
    </w:p>
    <w:p w14:paraId="65A0AC36" w14:textId="77777777" w:rsidR="0054709B" w:rsidRPr="0054709B" w:rsidRDefault="0054709B" w:rsidP="004C3577">
      <w:pPr>
        <w:numPr>
          <w:ilvl w:val="0"/>
          <w:numId w:val="17"/>
        </w:numPr>
        <w:ind w:left="714" w:hanging="357"/>
        <w:contextualSpacing/>
      </w:pPr>
      <w:r w:rsidRPr="0054709B">
        <w:t xml:space="preserve">Right to restriction of processing. </w:t>
      </w:r>
    </w:p>
    <w:p w14:paraId="5FFB90BF" w14:textId="77777777" w:rsidR="0054709B" w:rsidRPr="0054709B" w:rsidRDefault="0054709B" w:rsidP="004C3577">
      <w:pPr>
        <w:numPr>
          <w:ilvl w:val="0"/>
          <w:numId w:val="17"/>
        </w:numPr>
        <w:ind w:left="714" w:hanging="357"/>
        <w:contextualSpacing/>
      </w:pPr>
      <w:r w:rsidRPr="0054709B">
        <w:t>Right to object to processing. This right does not apply when the information is processed for law enforcement purposes.</w:t>
      </w:r>
    </w:p>
    <w:p w14:paraId="50ECD643" w14:textId="77777777" w:rsidR="0054709B" w:rsidRPr="0054709B" w:rsidRDefault="0054709B" w:rsidP="002D7218">
      <w:pPr>
        <w:pStyle w:val="Heading3"/>
      </w:pPr>
      <w:bookmarkStart w:id="45" w:name="_Toc189822237"/>
      <w:bookmarkStart w:id="46" w:name="_Toc203466134"/>
      <w:bookmarkStart w:id="47" w:name="_Toc204850194"/>
      <w:bookmarkStart w:id="48" w:name="_Hlk175231904"/>
      <w:r w:rsidRPr="0054709B">
        <w:t>Subject Access Requests (SAR)</w:t>
      </w:r>
      <w:bookmarkEnd w:id="45"/>
      <w:bookmarkEnd w:id="46"/>
      <w:bookmarkEnd w:id="47"/>
    </w:p>
    <w:p w14:paraId="28E4B13E" w14:textId="05E87E10" w:rsidR="0054709B" w:rsidRPr="0054709B" w:rsidRDefault="0054709B" w:rsidP="0054709B">
      <w:r w:rsidRPr="0054709B">
        <w:t xml:space="preserve">Article </w:t>
      </w:r>
      <w:r w:rsidRPr="0054709B">
        <w:rPr>
          <w:color w:val="0000FF"/>
          <w:u w:val="single"/>
        </w:rPr>
        <w:t>15 of the GDPR</w:t>
      </w:r>
      <w:r w:rsidRPr="0054709B">
        <w:t xml:space="preserve">, and </w:t>
      </w:r>
      <w:r w:rsidRPr="0054709B">
        <w:rPr>
          <w:color w:val="0000FF"/>
          <w:u w:val="single"/>
        </w:rPr>
        <w:t>Section 45 of the Act</w:t>
      </w:r>
      <w:r w:rsidRPr="0054709B">
        <w:t xml:space="preserve"> give to data subjects, the right to know whether or not their personal data is being processed by Police Scotland, and if </w:t>
      </w:r>
      <w:r w:rsidRPr="0054709B">
        <w:lastRenderedPageBreak/>
        <w:t>so, access to that data and a number of other details which will be provided by Information Disclosure.</w:t>
      </w:r>
    </w:p>
    <w:p w14:paraId="68705663" w14:textId="1A766E16" w:rsidR="0054709B" w:rsidRPr="0054709B" w:rsidRDefault="0054709B" w:rsidP="0054709B">
      <w:r w:rsidRPr="0054709B">
        <w:t xml:space="preserve"> SARs can be made in writing </w:t>
      </w:r>
      <w:r w:rsidRPr="0054709B">
        <w:rPr>
          <w:color w:val="0000FF"/>
          <w:u w:val="single"/>
        </w:rPr>
        <w:t>via our online application</w:t>
      </w:r>
      <w:r w:rsidRPr="0054709B">
        <w:t xml:space="preserve"> form, by post, by email or by handing them in to any public facing police station, or they can be made verbally. </w:t>
      </w:r>
    </w:p>
    <w:p w14:paraId="38AEFD04" w14:textId="77777777" w:rsidR="0054709B" w:rsidRPr="0054709B" w:rsidRDefault="0054709B" w:rsidP="0054709B">
      <w:r w:rsidRPr="0054709B">
        <w:t>Further information is available online - Subject Access Requests - Police Scotland.</w:t>
      </w:r>
    </w:p>
    <w:p w14:paraId="2C2D4F42" w14:textId="77777777" w:rsidR="0054709B" w:rsidRPr="0054709B" w:rsidRDefault="0054709B" w:rsidP="0054709B">
      <w:r w:rsidRPr="0054709B">
        <w:t>There is no charge associated with SARs.</w:t>
      </w:r>
    </w:p>
    <w:p w14:paraId="6146516B" w14:textId="77777777" w:rsidR="0054709B" w:rsidRPr="0054709B" w:rsidRDefault="0054709B" w:rsidP="002D7218">
      <w:pPr>
        <w:pStyle w:val="Heading3"/>
      </w:pPr>
      <w:bookmarkStart w:id="49" w:name="_Toc189822238"/>
      <w:bookmarkStart w:id="50" w:name="_Toc203466135"/>
      <w:bookmarkStart w:id="51" w:name="_Toc204850195"/>
      <w:r w:rsidRPr="0054709B">
        <w:t>Dealing with receipt of a SAR</w:t>
      </w:r>
      <w:bookmarkEnd w:id="49"/>
      <w:bookmarkEnd w:id="50"/>
      <w:bookmarkEnd w:id="51"/>
    </w:p>
    <w:p w14:paraId="61AE69C9" w14:textId="77777777" w:rsidR="0054709B" w:rsidRPr="0054709B" w:rsidRDefault="0054709B" w:rsidP="0054709B">
      <w:r w:rsidRPr="0054709B">
        <w:t xml:space="preserve">Information Disclosure has one month to respond to a SAR and the responses are often lengthy and time consuming to prepare. </w:t>
      </w:r>
    </w:p>
    <w:p w14:paraId="7B1D1DC8" w14:textId="46BA65D4" w:rsidR="0054709B" w:rsidRPr="0054709B" w:rsidRDefault="0054709B" w:rsidP="0054709B">
      <w:r w:rsidRPr="0054709B">
        <w:t xml:space="preserve">Therefore, any SARs received by email or post must be forwarded immediately to </w:t>
      </w:r>
      <w:r w:rsidRPr="0054709B">
        <w:rPr>
          <w:color w:val="0000FF"/>
          <w:u w:val="single"/>
        </w:rPr>
        <w:t>dataprotectionsubjectacess@scotland.police.uk</w:t>
      </w:r>
      <w:r w:rsidRPr="0054709B">
        <w:t>.</w:t>
      </w:r>
    </w:p>
    <w:p w14:paraId="270C72BA" w14:textId="3A32F203" w:rsidR="0054709B" w:rsidRPr="0054709B" w:rsidRDefault="0054709B" w:rsidP="0054709B">
      <w:r w:rsidRPr="0054709B">
        <w:t xml:space="preserve">If an individual calls at a police station or approaches or calls any officer or staff member to submit a SAR, they should be encouraged wherever possible to complete the </w:t>
      </w:r>
      <w:r w:rsidRPr="0054709B">
        <w:rPr>
          <w:color w:val="0000FF"/>
          <w:u w:val="single"/>
        </w:rPr>
        <w:t>online form</w:t>
      </w:r>
      <w:r w:rsidRPr="0054709B">
        <w:t xml:space="preserve"> from their own device and advised that they will require to have scans or photographs of Identification Documents (ID) to hand.</w:t>
      </w:r>
    </w:p>
    <w:p w14:paraId="239A00CB" w14:textId="77777777" w:rsidR="0054709B" w:rsidRPr="0054709B" w:rsidRDefault="0054709B" w:rsidP="0054709B">
      <w:r w:rsidRPr="0054709B">
        <w:t>Two forms of ID are required, which between them confirm the individual’s name, date of birth and current address - for example a passport, driving licence, birth certificate, utility bill, etc.</w:t>
      </w:r>
    </w:p>
    <w:p w14:paraId="661D4090" w14:textId="29BC79A5" w:rsidR="0054709B" w:rsidRPr="0054709B" w:rsidRDefault="0054709B" w:rsidP="0054709B">
      <w:r w:rsidRPr="0054709B">
        <w:t xml:space="preserve">If an individual prefers to make the request verbally, the receiving officer should complete the </w:t>
      </w:r>
      <w:r w:rsidRPr="0054709B">
        <w:rPr>
          <w:color w:val="0000FF"/>
          <w:u w:val="single"/>
        </w:rPr>
        <w:t>online form</w:t>
      </w:r>
      <w:r w:rsidRPr="0054709B">
        <w:t xml:space="preserve"> for them, selecting ‘yes’ for the ‘I have authorisation’ question.</w:t>
      </w:r>
    </w:p>
    <w:p w14:paraId="0B42C5D5" w14:textId="77777777" w:rsidR="0054709B" w:rsidRPr="0054709B" w:rsidRDefault="0054709B" w:rsidP="0054709B">
      <w:r w:rsidRPr="0054709B">
        <w:t>If an individual does not have ID with them but wishes to proceed regardless, the form can still be completed but they should be advised that the SAR will not be progressed until ID is received.</w:t>
      </w:r>
    </w:p>
    <w:p w14:paraId="1BAC36FA" w14:textId="77777777" w:rsidR="0054709B" w:rsidRPr="0054709B" w:rsidRDefault="0054709B" w:rsidP="0054709B">
      <w:r w:rsidRPr="0054709B">
        <w:t>On completion of the form, the receiving officer should provide the individual with the unique reference number generated and advise them to send copies of their ID to Information Management (Disclosure), quoting their name and the reference number.</w:t>
      </w:r>
    </w:p>
    <w:p w14:paraId="38C5C9F2" w14:textId="6FBCD89C" w:rsidR="0054709B" w:rsidRPr="0054709B" w:rsidRDefault="0054709B" w:rsidP="0054709B">
      <w:r w:rsidRPr="0054709B">
        <w:lastRenderedPageBreak/>
        <w:t xml:space="preserve">Emails can be sent to </w:t>
      </w:r>
      <w:r w:rsidRPr="0054709B">
        <w:rPr>
          <w:color w:val="0000FF"/>
          <w:u w:val="single"/>
        </w:rPr>
        <w:t>dataprotectionsubjectacess@scotland.police.uk</w:t>
      </w:r>
      <w:r w:rsidRPr="0054709B">
        <w:t xml:space="preserve"> and letters to Information Disclosure, Police Scotland, Second Floor, Woodhill House, </w:t>
      </w:r>
      <w:proofErr w:type="spellStart"/>
      <w:r w:rsidRPr="0054709B">
        <w:t>Westburn</w:t>
      </w:r>
      <w:proofErr w:type="spellEnd"/>
      <w:r w:rsidRPr="0054709B">
        <w:t xml:space="preserve"> Road, Aberdeen AB16 5GB.</w:t>
      </w:r>
    </w:p>
    <w:p w14:paraId="16E11A70" w14:textId="77777777" w:rsidR="0054709B" w:rsidRPr="0054709B" w:rsidRDefault="0054709B" w:rsidP="0054709B">
      <w:r w:rsidRPr="0054709B">
        <w:t>Where the individual does have ID with them, it should be scanned (or photographed with a work device) and the originals returned to them immediately.</w:t>
      </w:r>
    </w:p>
    <w:p w14:paraId="54C00624" w14:textId="77777777" w:rsidR="0054709B" w:rsidRPr="0054709B" w:rsidRDefault="0054709B" w:rsidP="0054709B">
      <w:r w:rsidRPr="0054709B">
        <w:t xml:space="preserve">On submission of the form, the receiving officer will be directed to send an email with the scans/ photos attached to a dedicated email address.  </w:t>
      </w:r>
    </w:p>
    <w:p w14:paraId="65B8698B" w14:textId="77777777" w:rsidR="0054709B" w:rsidRPr="0054709B" w:rsidRDefault="0054709B" w:rsidP="002D7218">
      <w:pPr>
        <w:pStyle w:val="Heading3"/>
      </w:pPr>
      <w:bookmarkStart w:id="52" w:name="_Toc189822239"/>
      <w:bookmarkStart w:id="53" w:name="_Toc203466136"/>
      <w:bookmarkStart w:id="54" w:name="_Toc204850196"/>
      <w:r w:rsidRPr="0054709B">
        <w:t>Information required for visa purposes</w:t>
      </w:r>
      <w:bookmarkEnd w:id="52"/>
      <w:bookmarkEnd w:id="53"/>
      <w:bookmarkEnd w:id="54"/>
    </w:p>
    <w:bookmarkEnd w:id="48"/>
    <w:p w14:paraId="6EB5EADC" w14:textId="495045EC" w:rsidR="0054709B" w:rsidRPr="0054709B" w:rsidRDefault="0054709B" w:rsidP="0054709B">
      <w:r w:rsidRPr="0054709B">
        <w:t xml:space="preserve">If the data subject requires the information for a visa application, they should be directed to the </w:t>
      </w:r>
      <w:r w:rsidRPr="0054709B">
        <w:rPr>
          <w:color w:val="0000FF"/>
          <w:u w:val="single"/>
        </w:rPr>
        <w:t>National Police Chief’s Council (NPCC) ACRO Criminal Records Office</w:t>
      </w:r>
      <w:r w:rsidRPr="0054709B">
        <w:t xml:space="preserve"> who will provide a certificate acceptable to Embassies.</w:t>
      </w:r>
    </w:p>
    <w:p w14:paraId="53FFF34E" w14:textId="77777777" w:rsidR="0054709B" w:rsidRPr="0054709B" w:rsidRDefault="0054709B" w:rsidP="002D7218">
      <w:pPr>
        <w:pStyle w:val="Heading3"/>
      </w:pPr>
      <w:bookmarkStart w:id="55" w:name="_Toc189822240"/>
      <w:bookmarkStart w:id="56" w:name="_Toc203466137"/>
      <w:bookmarkStart w:id="57" w:name="_Toc204850197"/>
      <w:r w:rsidRPr="0054709B">
        <w:t>Information required for employment purposes</w:t>
      </w:r>
      <w:bookmarkEnd w:id="55"/>
      <w:bookmarkEnd w:id="56"/>
      <w:bookmarkEnd w:id="57"/>
      <w:r w:rsidRPr="0054709B">
        <w:t xml:space="preserve"> </w:t>
      </w:r>
    </w:p>
    <w:p w14:paraId="1D25DB11" w14:textId="30C99B34" w:rsidR="0054709B" w:rsidRPr="0054709B" w:rsidRDefault="0054709B" w:rsidP="0054709B">
      <w:r w:rsidRPr="0054709B">
        <w:t xml:space="preserve">If the information is required for employment purposes, the data subject should be directed to Disclosure Scotland, Pacific Quay, Glasgow, G51 1YU, telephone 0870 609 6006 or, at </w:t>
      </w:r>
      <w:r w:rsidRPr="0054709B">
        <w:rPr>
          <w:color w:val="0000FF"/>
          <w:u w:val="single"/>
        </w:rPr>
        <w:t>www.mygov.scot/organisations/disclosure-scotland/</w:t>
      </w:r>
      <w:r w:rsidRPr="0054709B">
        <w:t xml:space="preserve"> who will provide advice on what is available.</w:t>
      </w:r>
    </w:p>
    <w:p w14:paraId="5051EBF3" w14:textId="77777777" w:rsidR="0054709B" w:rsidRPr="0054709B" w:rsidRDefault="0054709B" w:rsidP="002D7218">
      <w:pPr>
        <w:pStyle w:val="Heading3"/>
      </w:pPr>
      <w:bookmarkStart w:id="58" w:name="_Toc189822241"/>
      <w:bookmarkStart w:id="59" w:name="_Toc203466138"/>
      <w:bookmarkStart w:id="60" w:name="_Toc204850198"/>
      <w:r w:rsidRPr="0054709B">
        <w:t>Other rights of data subjects</w:t>
      </w:r>
      <w:bookmarkEnd w:id="58"/>
      <w:bookmarkEnd w:id="59"/>
      <w:bookmarkEnd w:id="60"/>
    </w:p>
    <w:p w14:paraId="71D59BC5" w14:textId="77777777" w:rsidR="0054709B" w:rsidRPr="0054709B" w:rsidRDefault="0054709B" w:rsidP="0054709B">
      <w:r w:rsidRPr="0054709B">
        <w:t>Requests made for any of the other rights of the data subjects listed in section 12 above, are dealt with by Information Assurance. The response must be provided within one month.</w:t>
      </w:r>
    </w:p>
    <w:p w14:paraId="2AC5D43F" w14:textId="5D3C526C" w:rsidR="0054709B" w:rsidRPr="0054709B" w:rsidRDefault="0054709B" w:rsidP="0054709B">
      <w:r w:rsidRPr="0054709B">
        <w:t>The form to make such requests is on the Police Scotland website (</w:t>
      </w:r>
      <w:r w:rsidRPr="0054709B">
        <w:rPr>
          <w:color w:val="0000FF"/>
          <w:u w:val="single"/>
        </w:rPr>
        <w:t>Request for rectification, erasure, restriction or objection to processing of personal data (Form 081-010))</w:t>
      </w:r>
      <w:r w:rsidRPr="0054709B">
        <w:t>. Should an applicant hand the request into a police station, the person receiving it should process as per SARs, but return it to the addresses listed on the form.</w:t>
      </w:r>
    </w:p>
    <w:p w14:paraId="46E11446" w14:textId="77777777" w:rsidR="00BF7F08" w:rsidRPr="00BF7F08" w:rsidRDefault="00BF7F08" w:rsidP="00BF7F08"/>
    <w:p w14:paraId="4414451A" w14:textId="2D63DC09" w:rsidR="0054709B" w:rsidRPr="0054709B" w:rsidRDefault="0054709B" w:rsidP="00A7764C">
      <w:pPr>
        <w:pStyle w:val="Heading2"/>
        <w:numPr>
          <w:ilvl w:val="0"/>
          <w:numId w:val="28"/>
        </w:numPr>
        <w:ind w:left="448" w:hanging="448"/>
      </w:pPr>
      <w:bookmarkStart w:id="61" w:name="_Toc189822242"/>
      <w:bookmarkStart w:id="62" w:name="_Toc203466139"/>
      <w:bookmarkStart w:id="63" w:name="_Toc204850199"/>
      <w:r w:rsidRPr="0054709B">
        <w:lastRenderedPageBreak/>
        <w:t>Data Protection Impact Assessments (DPIA) and Data Protection by Design and Default</w:t>
      </w:r>
      <w:bookmarkEnd w:id="61"/>
      <w:bookmarkEnd w:id="62"/>
      <w:bookmarkEnd w:id="63"/>
    </w:p>
    <w:p w14:paraId="58ABD980" w14:textId="4DEEAEA9" w:rsidR="0054709B" w:rsidRPr="0054709B" w:rsidRDefault="0054709B" w:rsidP="0054709B">
      <w:r w:rsidRPr="0054709B">
        <w:rPr>
          <w:color w:val="0000FF"/>
          <w:u w:val="single"/>
        </w:rPr>
        <w:t>Article 25 of the GDPR</w:t>
      </w:r>
      <w:r w:rsidRPr="0054709B">
        <w:t xml:space="preserve"> and </w:t>
      </w:r>
      <w:r w:rsidRPr="0054709B">
        <w:rPr>
          <w:color w:val="0000FF"/>
          <w:u w:val="single"/>
        </w:rPr>
        <w:t>Section 64</w:t>
      </w:r>
      <w:r w:rsidRPr="0054709B">
        <w:t xml:space="preserve"> of the Act provide that Police Scotland has a legal obligation to implement technical and organisational measures to demonstrate that we have considered and integrated data protection into its processing activities.</w:t>
      </w:r>
    </w:p>
    <w:p w14:paraId="53C3E249" w14:textId="77777777" w:rsidR="0054709B" w:rsidRPr="0054709B" w:rsidRDefault="0054709B" w:rsidP="0054709B">
      <w:r w:rsidRPr="0054709B">
        <w:t>Wherever a policy, project, system, process or initiative includes the processing of personal data, that processing must be compliant with data protection legislation at the point of delivery.</w:t>
      </w:r>
    </w:p>
    <w:p w14:paraId="1CCCDBBF" w14:textId="77777777" w:rsidR="0054709B" w:rsidRPr="0054709B" w:rsidRDefault="0054709B" w:rsidP="0054709B">
      <w:r w:rsidRPr="0054709B">
        <w:t>Where a type of processing, in particular using new technologies, is likely to result in a high risk to the rights and freedoms of a data subject then a DPIA must be completed. This is a legal requirement.</w:t>
      </w:r>
    </w:p>
    <w:p w14:paraId="7A16DDF7" w14:textId="77777777" w:rsidR="0054709B" w:rsidRPr="0054709B" w:rsidRDefault="0054709B" w:rsidP="0054709B">
      <w:r w:rsidRPr="0054709B">
        <w:t xml:space="preserve">The DPIA </w:t>
      </w:r>
      <w:r w:rsidRPr="0054709B">
        <w:rPr>
          <w:bCs/>
        </w:rPr>
        <w:t xml:space="preserve">must </w:t>
      </w:r>
      <w:r w:rsidRPr="0054709B">
        <w:t xml:space="preserve">be done at the </w:t>
      </w:r>
      <w:r w:rsidRPr="0054709B">
        <w:rPr>
          <w:bCs/>
        </w:rPr>
        <w:t>very beginning of a project</w:t>
      </w:r>
      <w:r w:rsidRPr="0054709B">
        <w:t>. This ensures that necessary changes can be made to the envisaged processing, rather than issues only being identified later in the project when making changes can be costly.</w:t>
      </w:r>
    </w:p>
    <w:p w14:paraId="5A4E33AE" w14:textId="77777777" w:rsidR="0054709B" w:rsidRPr="0054709B" w:rsidRDefault="0054709B" w:rsidP="0054709B">
      <w:r w:rsidRPr="0054709B">
        <w:t>There are templates and guidance for DPIAs and these are:</w:t>
      </w:r>
    </w:p>
    <w:p w14:paraId="05218A3C" w14:textId="43776800" w:rsidR="0054709B" w:rsidRPr="0054709B" w:rsidRDefault="0054709B" w:rsidP="004C3577">
      <w:pPr>
        <w:numPr>
          <w:ilvl w:val="0"/>
          <w:numId w:val="18"/>
        </w:numPr>
        <w:spacing w:after="240"/>
        <w:contextualSpacing/>
        <w:rPr>
          <w:rFonts w:eastAsia="Times New Roman"/>
          <w:szCs w:val="24"/>
        </w:rPr>
      </w:pPr>
      <w:r w:rsidRPr="0054709B">
        <w:rPr>
          <w:rFonts w:eastAsia="Times New Roman"/>
          <w:szCs w:val="24"/>
        </w:rPr>
        <w:t xml:space="preserve">Forms </w:t>
      </w:r>
      <w:r w:rsidRPr="0054709B">
        <w:rPr>
          <w:rFonts w:eastAsia="Times New Roman"/>
          <w:color w:val="0000FF"/>
          <w:szCs w:val="24"/>
          <w:u w:val="single"/>
        </w:rPr>
        <w:t>Data Protection Impact Assessment - GDPR Processing – Guidance (Form 081-006(A))</w:t>
      </w:r>
      <w:r w:rsidRPr="0054709B">
        <w:rPr>
          <w:rFonts w:eastAsia="Times New Roman"/>
          <w:szCs w:val="24"/>
        </w:rPr>
        <w:t xml:space="preserve"> and </w:t>
      </w:r>
      <w:r w:rsidRPr="0054709B">
        <w:rPr>
          <w:rFonts w:eastAsia="Times New Roman"/>
          <w:color w:val="0000FF"/>
          <w:szCs w:val="24"/>
          <w:u w:val="single"/>
        </w:rPr>
        <w:t>Data Protection Impact Assessment - GDPR Processing (Form 081-006)</w:t>
      </w:r>
      <w:r w:rsidRPr="0054709B">
        <w:rPr>
          <w:rFonts w:eastAsia="Times New Roman"/>
          <w:szCs w:val="24"/>
        </w:rPr>
        <w:t xml:space="preserve"> for GDPR processing.</w:t>
      </w:r>
    </w:p>
    <w:p w14:paraId="72C0C21C" w14:textId="22763ACA" w:rsidR="0054709B" w:rsidRDefault="0054709B" w:rsidP="004C3577">
      <w:pPr>
        <w:numPr>
          <w:ilvl w:val="0"/>
          <w:numId w:val="18"/>
        </w:numPr>
        <w:spacing w:after="240"/>
        <w:contextualSpacing/>
        <w:rPr>
          <w:rFonts w:eastAsia="Times New Roman"/>
          <w:szCs w:val="24"/>
        </w:rPr>
      </w:pPr>
      <w:r w:rsidRPr="0054709B">
        <w:rPr>
          <w:rFonts w:eastAsia="Times New Roman"/>
          <w:szCs w:val="24"/>
        </w:rPr>
        <w:t xml:space="preserve">Forms </w:t>
      </w:r>
      <w:r w:rsidRPr="0054709B">
        <w:rPr>
          <w:rFonts w:eastAsia="Times New Roman"/>
          <w:color w:val="0000FF"/>
          <w:szCs w:val="24"/>
          <w:u w:val="single"/>
        </w:rPr>
        <w:t>Data Protection Impact Assessment - Law Enforcement Processing – Guidance (Form 081-007(A))</w:t>
      </w:r>
      <w:r w:rsidRPr="0054709B">
        <w:rPr>
          <w:rFonts w:eastAsia="Times New Roman"/>
          <w:szCs w:val="24"/>
        </w:rPr>
        <w:t xml:space="preserve"> and </w:t>
      </w:r>
      <w:r w:rsidRPr="0054709B">
        <w:rPr>
          <w:rFonts w:eastAsia="Times New Roman"/>
          <w:color w:val="0000FF"/>
          <w:szCs w:val="24"/>
          <w:u w:val="single"/>
        </w:rPr>
        <w:t>Data Protection Impact Assessment - Law Enforcement Processing (Form 081-007)</w:t>
      </w:r>
      <w:r w:rsidRPr="0054709B">
        <w:rPr>
          <w:rFonts w:eastAsia="Times New Roman"/>
          <w:szCs w:val="24"/>
        </w:rPr>
        <w:t xml:space="preserve"> for law enforcement processing.</w:t>
      </w:r>
    </w:p>
    <w:p w14:paraId="7E162466" w14:textId="77777777" w:rsidR="0054709B" w:rsidRPr="0054709B" w:rsidRDefault="0054709B" w:rsidP="0054709B">
      <w:pPr>
        <w:spacing w:after="240"/>
        <w:ind w:left="720"/>
        <w:contextualSpacing/>
        <w:rPr>
          <w:rFonts w:eastAsia="Times New Roman"/>
          <w:szCs w:val="24"/>
        </w:rPr>
      </w:pPr>
    </w:p>
    <w:p w14:paraId="67E3B3B7" w14:textId="77777777" w:rsidR="0054709B" w:rsidRPr="0054709B" w:rsidRDefault="0054709B" w:rsidP="0054709B">
      <w:r w:rsidRPr="0054709B">
        <w:t>It is important that the guidance document is consulted and applied throughout the completion of the DPIA.</w:t>
      </w:r>
    </w:p>
    <w:p w14:paraId="257263F3" w14:textId="207F9542" w:rsidR="0054709B" w:rsidRPr="0054709B" w:rsidRDefault="0054709B" w:rsidP="0054709B">
      <w:r w:rsidRPr="0054709B">
        <w:t xml:space="preserve">Part 1 of the template should be completed and emailed to </w:t>
      </w:r>
      <w:r w:rsidRPr="0054709B">
        <w:rPr>
          <w:color w:val="0000FF"/>
          <w:u w:val="single"/>
        </w:rPr>
        <w:t>Information.Assurance@scotland.police.uk</w:t>
      </w:r>
      <w:r w:rsidRPr="0054709B">
        <w:t xml:space="preserve"> who will decide whether the proposed processing is likely to result in a high risk to the rights and freedoms of data subjects. Information Assurance will record the reason for their decision. If there is no risk identified, then no further action is required in relation to the DPIA, although all other aspects should still be considered, e.g. security.</w:t>
      </w:r>
    </w:p>
    <w:p w14:paraId="1559439D" w14:textId="77777777" w:rsidR="0054709B" w:rsidRDefault="0054709B" w:rsidP="0054709B"/>
    <w:p w14:paraId="30712D68" w14:textId="593041FB" w:rsidR="0054709B" w:rsidRDefault="0054709B" w:rsidP="0054709B">
      <w:r w:rsidRPr="0054709B">
        <w:lastRenderedPageBreak/>
        <w:t xml:space="preserve">If a high risk is identified, Part 2 of the template must be completed and returned to IA. IA will assess the DPIA, provide advice and guidance to ensure the proposed processing meets the terms of data protection legislation and  consult the Data Protection Officer who will review any associated risks with the processing, provide recommendations where relevant and advise whether the processing can proceed without referral to the Information Commissioner (ICO)  for consultation as provided by </w:t>
      </w:r>
      <w:r w:rsidRPr="0054709B">
        <w:rPr>
          <w:color w:val="0000FF"/>
          <w:u w:val="single"/>
        </w:rPr>
        <w:t>s.65 of the Act</w:t>
      </w:r>
      <w:r w:rsidRPr="0054709B">
        <w:t>.</w:t>
      </w:r>
    </w:p>
    <w:p w14:paraId="05807F5B" w14:textId="54B700BA" w:rsidR="0054709B" w:rsidRPr="007A13E6" w:rsidRDefault="0054709B" w:rsidP="00A7764C">
      <w:pPr>
        <w:pStyle w:val="Heading2"/>
        <w:numPr>
          <w:ilvl w:val="0"/>
          <w:numId w:val="28"/>
        </w:numPr>
        <w:ind w:left="448" w:hanging="448"/>
        <w:rPr>
          <w:rStyle w:val="Heading2Char"/>
          <w:b/>
          <w:bCs/>
        </w:rPr>
      </w:pPr>
      <w:bookmarkStart w:id="64" w:name="_Toc189822243"/>
      <w:bookmarkStart w:id="65" w:name="_Toc203466140"/>
      <w:bookmarkStart w:id="66" w:name="_Toc204850200"/>
      <w:r w:rsidRPr="007A13E6">
        <w:rPr>
          <w:rStyle w:val="Heading2Char"/>
          <w:b/>
          <w:bCs/>
        </w:rPr>
        <w:t>Data Processors</w:t>
      </w:r>
      <w:bookmarkEnd w:id="64"/>
      <w:bookmarkEnd w:id="65"/>
      <w:bookmarkEnd w:id="66"/>
    </w:p>
    <w:p w14:paraId="2DA2696D" w14:textId="77777777" w:rsidR="0054709B" w:rsidRDefault="0054709B" w:rsidP="0054709B">
      <w:r>
        <w:t>A processor is a person, legal person, public authority, agency or body which processes personal data on behalf of the controller (other than an employee of the controller).</w:t>
      </w:r>
    </w:p>
    <w:p w14:paraId="4AB34A3F" w14:textId="77777777" w:rsidR="0054709B" w:rsidRDefault="0054709B" w:rsidP="0054709B">
      <w:r>
        <w:t>When engaging a processor to carry out the processing of personal data on behalf of Police Scotland a Data Processing Agreement (DPA) must be completed. If a contract is dealt with by Procurement, a DPA must be completed as part of the contractual document set. Further guidance and support, including a template DPA can be obtained from Information Assurance.</w:t>
      </w:r>
    </w:p>
    <w:p w14:paraId="617019FC" w14:textId="3DE65B0C" w:rsidR="0054709B" w:rsidRPr="002D7218" w:rsidRDefault="0054709B" w:rsidP="002D7218">
      <w:pPr>
        <w:pStyle w:val="Heading2"/>
      </w:pPr>
      <w:bookmarkStart w:id="67" w:name="_Toc203466141"/>
      <w:bookmarkStart w:id="68" w:name="_Toc204850201"/>
      <w:r w:rsidRPr="002D7218">
        <w:t>15. Record of Processing Activities</w:t>
      </w:r>
      <w:bookmarkEnd w:id="67"/>
      <w:bookmarkEnd w:id="68"/>
      <w:r w:rsidRPr="002D7218">
        <w:tab/>
      </w:r>
    </w:p>
    <w:p w14:paraId="24A1B54F" w14:textId="77777777" w:rsidR="0054709B" w:rsidRPr="0054709B" w:rsidRDefault="0054709B" w:rsidP="0054709B">
      <w:r w:rsidRPr="0054709B">
        <w:t>Data protection legislation requires that a record is kept of the processing activities carried out by Police Scotland and provided to the Information Commissioner (ICO) on request.</w:t>
      </w:r>
    </w:p>
    <w:p w14:paraId="6AB56C97" w14:textId="77777777" w:rsidR="0054709B" w:rsidRPr="0054709B" w:rsidRDefault="0054709B" w:rsidP="0054709B">
      <w:r w:rsidRPr="0054709B">
        <w:t>If any new processing is envisaged, or it is intended to use personal data already held, for another purpose, then in addition to carrying out a DPIA (see paragraph 13), a record must be kept of the processing activities decided upon.</w:t>
      </w:r>
    </w:p>
    <w:p w14:paraId="4D13D557" w14:textId="232752E8" w:rsidR="0054709B" w:rsidRPr="0054709B" w:rsidRDefault="0054709B" w:rsidP="0054709B">
      <w:r w:rsidRPr="0054709B">
        <w:t xml:space="preserve">The record must contain the details listed in </w:t>
      </w:r>
      <w:r w:rsidRPr="0054709B">
        <w:rPr>
          <w:color w:val="0000FF"/>
          <w:u w:val="single"/>
        </w:rPr>
        <w:t>Article 30</w:t>
      </w:r>
      <w:r w:rsidRPr="0054709B">
        <w:t xml:space="preserve"> of the GDPR for general processing and </w:t>
      </w:r>
      <w:r w:rsidRPr="0054709B">
        <w:rPr>
          <w:color w:val="0000FF"/>
          <w:u w:val="single"/>
        </w:rPr>
        <w:t>Section 44</w:t>
      </w:r>
      <w:r w:rsidRPr="0054709B">
        <w:t xml:space="preserve"> of the Act for law enforcement processing. In Police Scotland, these details are primarily recorded in the Information Asset Register (IAR) and in the Data Catalogue. </w:t>
      </w:r>
    </w:p>
    <w:p w14:paraId="2A7949D3" w14:textId="4072E51E" w:rsidR="0054709B" w:rsidRDefault="0054709B" w:rsidP="0054709B">
      <w:r w:rsidRPr="0054709B">
        <w:lastRenderedPageBreak/>
        <w:t xml:space="preserve">All Strategic Information Asset Owners have access to the IAR and are responsible for ensuring the entries therein are </w:t>
      </w:r>
      <w:proofErr w:type="gramStart"/>
      <w:r w:rsidRPr="0054709B">
        <w:t>up-to-date</w:t>
      </w:r>
      <w:proofErr w:type="gramEnd"/>
      <w:r w:rsidRPr="0054709B">
        <w:t>, supported by the Records Manager.</w:t>
      </w:r>
    </w:p>
    <w:p w14:paraId="1F32EAAB" w14:textId="77777777" w:rsidR="0054709B" w:rsidRPr="0054709B" w:rsidRDefault="0054709B" w:rsidP="002D7218">
      <w:pPr>
        <w:pStyle w:val="Heading2"/>
      </w:pPr>
      <w:bookmarkStart w:id="69" w:name="_Toc189822245"/>
      <w:bookmarkStart w:id="70" w:name="_Toc203466142"/>
      <w:bookmarkStart w:id="71" w:name="_Toc204850202"/>
      <w:r w:rsidRPr="0054709B">
        <w:t>16. Roles and Responsibilities</w:t>
      </w:r>
      <w:bookmarkEnd w:id="69"/>
      <w:bookmarkEnd w:id="70"/>
      <w:bookmarkEnd w:id="71"/>
    </w:p>
    <w:p w14:paraId="7F617729" w14:textId="77777777" w:rsidR="0054709B" w:rsidRPr="0054709B" w:rsidRDefault="0054709B" w:rsidP="0054709B">
      <w:r w:rsidRPr="0054709B">
        <w:t>We have an established Information Assurance network that ensures the risk to personal data across Police Scotland is identified and appropriately managed. The detailed roles and responsibilities comprise of the below:</w:t>
      </w:r>
    </w:p>
    <w:p w14:paraId="59256651" w14:textId="77777777" w:rsidR="0054709B" w:rsidRPr="0054709B" w:rsidRDefault="0054709B" w:rsidP="002D7218">
      <w:pPr>
        <w:pStyle w:val="Heading3"/>
      </w:pPr>
      <w:bookmarkStart w:id="72" w:name="_Toc189822246"/>
      <w:bookmarkStart w:id="73" w:name="_Toc203466143"/>
      <w:bookmarkStart w:id="74" w:name="_Toc204850203"/>
      <w:r w:rsidRPr="0054709B">
        <w:t>Senior Information Risk Owner (SIRO)</w:t>
      </w:r>
      <w:bookmarkEnd w:id="72"/>
      <w:bookmarkEnd w:id="73"/>
      <w:bookmarkEnd w:id="74"/>
    </w:p>
    <w:p w14:paraId="0AD3062C" w14:textId="77777777" w:rsidR="0054709B" w:rsidRPr="0054709B" w:rsidRDefault="0054709B" w:rsidP="0054709B">
      <w:r w:rsidRPr="0054709B">
        <w:t xml:space="preserve">Police Scotland’s SIRO owns the overall risk arising from the processing personal data by Police Scotland. Our SIRO is the Assistant Chief Constable, Professionalism and Assurance. </w:t>
      </w:r>
    </w:p>
    <w:p w14:paraId="5CA08A2B" w14:textId="77777777" w:rsidR="0054709B" w:rsidRPr="0054709B" w:rsidRDefault="0054709B" w:rsidP="002D7218">
      <w:pPr>
        <w:pStyle w:val="Heading3"/>
      </w:pPr>
      <w:bookmarkStart w:id="75" w:name="_Toc189822247"/>
      <w:bookmarkStart w:id="76" w:name="_Toc203466144"/>
      <w:bookmarkStart w:id="77" w:name="_Toc204850204"/>
      <w:r w:rsidRPr="0054709B">
        <w:t>Data Protection Officer (DPO)</w:t>
      </w:r>
      <w:bookmarkEnd w:id="75"/>
      <w:bookmarkEnd w:id="76"/>
      <w:bookmarkEnd w:id="77"/>
    </w:p>
    <w:p w14:paraId="15E178B4" w14:textId="77777777" w:rsidR="0054709B" w:rsidRPr="0054709B" w:rsidRDefault="0054709B" w:rsidP="0054709B">
      <w:r w:rsidRPr="0054709B">
        <w:t>As a public authority, Police Scotland must have a Data Protection Officer (DPO).</w:t>
      </w:r>
    </w:p>
    <w:p w14:paraId="05E04625" w14:textId="1F3DE3A0" w:rsidR="0054709B" w:rsidRPr="0054709B" w:rsidRDefault="0054709B" w:rsidP="0054709B">
      <w:r w:rsidRPr="0054709B">
        <w:t xml:space="preserve">Police Scotland’s Data Protection Officer (DPO) is primarily responsible for advising on and assessing our compliance with the DPA and UK GDPR and making recommendations to improve compliance.  The role and tasks of the DPO are laid down in </w:t>
      </w:r>
      <w:r w:rsidRPr="0054709B">
        <w:rPr>
          <w:color w:val="0000FF"/>
          <w:u w:val="single"/>
        </w:rPr>
        <w:t>Articles 37</w:t>
      </w:r>
      <w:r w:rsidRPr="0054709B">
        <w:t xml:space="preserve"> et seq. and </w:t>
      </w:r>
      <w:r w:rsidRPr="0054709B">
        <w:rPr>
          <w:color w:val="0000FF"/>
          <w:u w:val="single"/>
        </w:rPr>
        <w:t>Sections 69</w:t>
      </w:r>
      <w:r w:rsidRPr="0054709B">
        <w:t xml:space="preserve"> et seq. </w:t>
      </w:r>
    </w:p>
    <w:p w14:paraId="07EFA820" w14:textId="77777777" w:rsidR="0054709B" w:rsidRPr="0054709B" w:rsidRDefault="0054709B" w:rsidP="0054709B">
      <w:r w:rsidRPr="0054709B">
        <w:t>The name and contact details of the DPO must be published and communicated to the ICO. Data subjects can contact the DPO directly in relation to the processing of their personal data and to the exercise of their rights under the data protection legislation.</w:t>
      </w:r>
    </w:p>
    <w:p w14:paraId="4BF06217" w14:textId="3DFD447A" w:rsidR="00052D8F" w:rsidRDefault="0054709B" w:rsidP="0054709B">
      <w:pPr>
        <w:rPr>
          <w:color w:val="0000FF"/>
          <w:u w:val="single"/>
        </w:rPr>
      </w:pPr>
      <w:r w:rsidRPr="00F57C3E">
        <w:t xml:space="preserve">The Data Protection Officer can be contacted at </w:t>
      </w:r>
      <w:hyperlink r:id="rId13" w:history="1">
        <w:r w:rsidR="00052D8F" w:rsidRPr="00F57C3E">
          <w:rPr>
            <w:rStyle w:val="Hyperlink"/>
          </w:rPr>
          <w:t>DataProtection@Scotland.police.uk</w:t>
        </w:r>
      </w:hyperlink>
    </w:p>
    <w:p w14:paraId="0C675763" w14:textId="77777777" w:rsidR="0054709B" w:rsidRPr="0054709B" w:rsidRDefault="0054709B" w:rsidP="002D7218">
      <w:pPr>
        <w:pStyle w:val="Heading3"/>
      </w:pPr>
      <w:bookmarkStart w:id="78" w:name="_Toc189822248"/>
      <w:bookmarkStart w:id="79" w:name="_Toc203466145"/>
      <w:bookmarkStart w:id="80" w:name="_Toc204850205"/>
      <w:r w:rsidRPr="0054709B">
        <w:t>Other roles</w:t>
      </w:r>
      <w:bookmarkEnd w:id="78"/>
      <w:bookmarkEnd w:id="79"/>
      <w:bookmarkEnd w:id="80"/>
    </w:p>
    <w:p w14:paraId="73902736" w14:textId="77777777" w:rsidR="0054709B" w:rsidRPr="0054709B" w:rsidRDefault="0054709B" w:rsidP="0054709B">
      <w:r w:rsidRPr="0054709B">
        <w:t xml:space="preserve">Specific roles are assigned throughout our corporate hierarchy to manage personal data we process and the associated risks in terms of responsibilities, decision making and monitoring compliance. </w:t>
      </w:r>
    </w:p>
    <w:p w14:paraId="7C3D2FEF" w14:textId="45BBA1BC" w:rsidR="0054709B" w:rsidRPr="0054709B" w:rsidRDefault="0054709B" w:rsidP="0054709B">
      <w:r w:rsidRPr="0054709B">
        <w:lastRenderedPageBreak/>
        <w:t xml:space="preserve">Our detailed governance framework is contained within the </w:t>
      </w:r>
      <w:r w:rsidRPr="0054709B">
        <w:rPr>
          <w:color w:val="0000FF"/>
          <w:u w:val="single"/>
        </w:rPr>
        <w:t>Information Governance Standard Operating Procedure</w:t>
      </w:r>
      <w:r w:rsidRPr="0054709B">
        <w:t>.</w:t>
      </w:r>
    </w:p>
    <w:p w14:paraId="22949E38" w14:textId="77777777" w:rsidR="007B1CEA" w:rsidRPr="007B1CEA" w:rsidRDefault="007B1CEA" w:rsidP="002D7218">
      <w:pPr>
        <w:pStyle w:val="Heading2"/>
      </w:pPr>
      <w:bookmarkStart w:id="81" w:name="_Toc189822249"/>
      <w:bookmarkStart w:id="82" w:name="_Toc203466146"/>
      <w:bookmarkStart w:id="83" w:name="_Toc204850206"/>
      <w:r w:rsidRPr="007B1CEA">
        <w:t>17. Personal Data Breaches</w:t>
      </w:r>
      <w:bookmarkEnd w:id="81"/>
      <w:bookmarkEnd w:id="82"/>
      <w:bookmarkEnd w:id="83"/>
    </w:p>
    <w:p w14:paraId="3A869E57" w14:textId="77777777" w:rsidR="007B1CEA" w:rsidRPr="007B1CEA" w:rsidRDefault="007B1CEA" w:rsidP="007B1CEA">
      <w:r w:rsidRPr="007B1CEA">
        <w:t>A personal data breach is defined as ‘a breach of security leading to the accidental or unlawful destruction, loss, alteration, unauthorised disclosure of, or access to, personal data transmitted, stored or otherwise processed’.</w:t>
      </w:r>
    </w:p>
    <w:p w14:paraId="59753AD5" w14:textId="77777777" w:rsidR="007B1CEA" w:rsidRPr="007B1CEA" w:rsidRDefault="007B1CEA" w:rsidP="007B1CEA">
      <w:r w:rsidRPr="007B1CEA">
        <w:t>Certain personal data breaches must be reported to the ICO within 72 hours of it being discovered. Failure to do so may result in a substantial fine.</w:t>
      </w:r>
    </w:p>
    <w:p w14:paraId="1209592E" w14:textId="0A3C7FC8" w:rsidR="004F2BF0" w:rsidRDefault="007B1CEA" w:rsidP="007B1CEA">
      <w:r w:rsidRPr="007B1CEA">
        <w:t xml:space="preserve">Anyone who identifies a personal data breach </w:t>
      </w:r>
      <w:r w:rsidRPr="007B1CEA">
        <w:rPr>
          <w:bCs/>
        </w:rPr>
        <w:t>must report it immediately</w:t>
      </w:r>
      <w:r w:rsidRPr="007B1CEA">
        <w:t xml:space="preserve">. Details of how to identify and report data breaches are in the </w:t>
      </w:r>
      <w:r w:rsidRPr="007B1CEA">
        <w:rPr>
          <w:color w:val="0000FF"/>
          <w:u w:val="single"/>
        </w:rPr>
        <w:t>Information Security SOP</w:t>
      </w:r>
      <w:r w:rsidRPr="007B1CEA">
        <w:t>.</w:t>
      </w:r>
    </w:p>
    <w:p w14:paraId="3C1171A7" w14:textId="77777777" w:rsidR="004F2BF0" w:rsidRPr="004F2BF0" w:rsidRDefault="004F2BF0" w:rsidP="002D7218">
      <w:pPr>
        <w:pStyle w:val="Heading2"/>
      </w:pPr>
      <w:bookmarkStart w:id="84" w:name="_Toc189822250"/>
      <w:bookmarkStart w:id="85" w:name="_Toc203466147"/>
      <w:bookmarkStart w:id="86" w:name="_Toc204850207"/>
      <w:r w:rsidRPr="004F2BF0">
        <w:t>18. Failure to Comply with the Provisions of the Data Protection Legislation</w:t>
      </w:r>
      <w:bookmarkEnd w:id="84"/>
      <w:bookmarkEnd w:id="85"/>
      <w:bookmarkEnd w:id="86"/>
    </w:p>
    <w:p w14:paraId="46C901FA" w14:textId="33D9023A" w:rsidR="004F2BF0" w:rsidRDefault="004F2BF0" w:rsidP="004F2BF0">
      <w:r w:rsidRPr="004F2BF0">
        <w:t xml:space="preserve">Failure to comply with the data protection legislation can leave Police Scotland open to administrative fines by the ICO of up to £17.5m. Further details relating to fines are in </w:t>
      </w:r>
      <w:r w:rsidRPr="004F2BF0">
        <w:rPr>
          <w:color w:val="0000FF"/>
          <w:u w:val="single"/>
        </w:rPr>
        <w:t>Article 83</w:t>
      </w:r>
      <w:r w:rsidRPr="004F2BF0">
        <w:t xml:space="preserve"> and </w:t>
      </w:r>
      <w:r w:rsidRPr="004F2BF0">
        <w:rPr>
          <w:color w:val="0000FF"/>
          <w:u w:val="single"/>
        </w:rPr>
        <w:t>Section 155 et seq.</w:t>
      </w:r>
      <w:r w:rsidRPr="004F2BF0">
        <w:t xml:space="preserve"> of the Act.</w:t>
      </w:r>
    </w:p>
    <w:p w14:paraId="2B69142E" w14:textId="77777777" w:rsidR="004F2BF0" w:rsidRPr="004F2BF0" w:rsidRDefault="004F2BF0" w:rsidP="002D7218">
      <w:pPr>
        <w:pStyle w:val="Heading2"/>
      </w:pPr>
      <w:bookmarkStart w:id="87" w:name="_Toc189822251"/>
      <w:bookmarkStart w:id="88" w:name="_Toc203466148"/>
      <w:bookmarkStart w:id="89" w:name="_Toc204850208"/>
      <w:r w:rsidRPr="004F2BF0">
        <w:t>19. Criminal Offences</w:t>
      </w:r>
      <w:bookmarkEnd w:id="87"/>
      <w:bookmarkEnd w:id="88"/>
      <w:bookmarkEnd w:id="89"/>
    </w:p>
    <w:p w14:paraId="7938022C" w14:textId="376CE5FB" w:rsidR="004F2BF0" w:rsidRPr="004F2BF0" w:rsidRDefault="004F2BF0" w:rsidP="004F2BF0">
      <w:r w:rsidRPr="004F2BF0">
        <w:t xml:space="preserve">There are a number of criminal offences under the Data Protection legislation. These are detailed in </w:t>
      </w:r>
      <w:r w:rsidRPr="004F2BF0">
        <w:rPr>
          <w:color w:val="0000FF"/>
          <w:u w:val="single"/>
        </w:rPr>
        <w:t>Sections 170</w:t>
      </w:r>
      <w:r w:rsidRPr="004F2BF0">
        <w:t xml:space="preserve"> to </w:t>
      </w:r>
      <w:r w:rsidRPr="004F2BF0">
        <w:rPr>
          <w:color w:val="0000FF"/>
          <w:u w:val="single"/>
        </w:rPr>
        <w:t>173</w:t>
      </w:r>
      <w:r w:rsidRPr="004F2BF0">
        <w:t xml:space="preserve"> of the Act. </w:t>
      </w:r>
    </w:p>
    <w:p w14:paraId="74B84D8A" w14:textId="77777777" w:rsidR="004F2BF0" w:rsidRPr="004F2BF0" w:rsidRDefault="004F2BF0" w:rsidP="004F2BF0">
      <w:r w:rsidRPr="004F2BF0">
        <w:t>It is a criminal offence for a person to knowingly or recklessly:</w:t>
      </w:r>
    </w:p>
    <w:p w14:paraId="5D839533" w14:textId="77777777" w:rsidR="004F2BF0" w:rsidRPr="004F2BF0" w:rsidRDefault="004F2BF0" w:rsidP="004C3577">
      <w:pPr>
        <w:numPr>
          <w:ilvl w:val="0"/>
          <w:numId w:val="20"/>
        </w:numPr>
        <w:rPr>
          <w:rFonts w:eastAsia="Times New Roman"/>
          <w:szCs w:val="24"/>
        </w:rPr>
      </w:pPr>
      <w:r w:rsidRPr="004F2BF0">
        <w:rPr>
          <w:rFonts w:eastAsia="Times New Roman"/>
          <w:szCs w:val="24"/>
        </w:rPr>
        <w:t>Obtain or disclose personal data without the consent of the controller.</w:t>
      </w:r>
    </w:p>
    <w:p w14:paraId="1BFFBF4A" w14:textId="77777777" w:rsidR="004F2BF0" w:rsidRPr="004F2BF0" w:rsidRDefault="004F2BF0" w:rsidP="004C3577">
      <w:pPr>
        <w:numPr>
          <w:ilvl w:val="0"/>
          <w:numId w:val="20"/>
        </w:numPr>
        <w:spacing w:after="240"/>
        <w:contextualSpacing/>
        <w:rPr>
          <w:rFonts w:eastAsia="Times New Roman"/>
          <w:szCs w:val="24"/>
        </w:rPr>
      </w:pPr>
      <w:r w:rsidRPr="004F2BF0">
        <w:rPr>
          <w:rFonts w:eastAsia="Times New Roman"/>
          <w:szCs w:val="24"/>
        </w:rPr>
        <w:t>Procure the disclosure of personal data to another person without the consent of the controller, or</w:t>
      </w:r>
    </w:p>
    <w:p w14:paraId="3D5A33BA" w14:textId="77777777" w:rsidR="004F2BF0" w:rsidRPr="004F2BF0" w:rsidRDefault="004F2BF0" w:rsidP="004C3577">
      <w:pPr>
        <w:numPr>
          <w:ilvl w:val="0"/>
          <w:numId w:val="20"/>
        </w:numPr>
        <w:contextualSpacing/>
        <w:rPr>
          <w:rFonts w:eastAsia="Times New Roman"/>
          <w:szCs w:val="24"/>
        </w:rPr>
      </w:pPr>
      <w:r w:rsidRPr="004F2BF0">
        <w:rPr>
          <w:rFonts w:eastAsia="Times New Roman"/>
          <w:szCs w:val="24"/>
        </w:rPr>
        <w:t>After obtaining the personal data, to retain it without the consent of the person who was the controller in relation to the personal data when it was obtained.</w:t>
      </w:r>
    </w:p>
    <w:p w14:paraId="487F491A" w14:textId="77777777" w:rsidR="004F2BF0" w:rsidRPr="004F2BF0" w:rsidRDefault="004F2BF0" w:rsidP="004F2BF0">
      <w:r w:rsidRPr="004F2BF0">
        <w:t>It is a criminal offence to:</w:t>
      </w:r>
    </w:p>
    <w:p w14:paraId="56243ED0" w14:textId="77777777" w:rsidR="004F2BF0" w:rsidRPr="004F2BF0" w:rsidRDefault="004F2BF0" w:rsidP="004C3577">
      <w:pPr>
        <w:numPr>
          <w:ilvl w:val="0"/>
          <w:numId w:val="19"/>
        </w:numPr>
        <w:ind w:left="714" w:hanging="357"/>
      </w:pPr>
      <w:r w:rsidRPr="004F2BF0">
        <w:lastRenderedPageBreak/>
        <w:t>Sell or offer to sell personal data held by Police Scotland.</w:t>
      </w:r>
    </w:p>
    <w:p w14:paraId="478A9FA2" w14:textId="77777777" w:rsidR="004F2BF0" w:rsidRPr="004F2BF0" w:rsidRDefault="004F2BF0" w:rsidP="004C3577">
      <w:pPr>
        <w:numPr>
          <w:ilvl w:val="0"/>
          <w:numId w:val="19"/>
        </w:numPr>
        <w:ind w:left="714" w:hanging="357"/>
        <w:contextualSpacing/>
      </w:pPr>
      <w:r w:rsidRPr="004F2BF0">
        <w:t>Knowingly or recklessly, without the consent of the controller to re-identify information which is personal data that has been previously de-identified.</w:t>
      </w:r>
    </w:p>
    <w:p w14:paraId="2C1ADD2C" w14:textId="77777777" w:rsidR="004F2BF0" w:rsidRPr="004F2BF0" w:rsidRDefault="004F2BF0" w:rsidP="004C3577">
      <w:pPr>
        <w:numPr>
          <w:ilvl w:val="0"/>
          <w:numId w:val="19"/>
        </w:numPr>
        <w:ind w:left="714" w:hanging="357"/>
        <w:contextualSpacing/>
      </w:pPr>
      <w:r w:rsidRPr="004F2BF0">
        <w:t>Alter, deface, block, erase, destroy or conceal information with the intention of preventing disclosure that a person making a subject access request would have been entitled to.</w:t>
      </w:r>
    </w:p>
    <w:p w14:paraId="1DA3BA3A" w14:textId="77777777" w:rsidR="004F2BF0" w:rsidRPr="004F2BF0" w:rsidRDefault="004F2BF0" w:rsidP="004F2BF0">
      <w:r w:rsidRPr="004F2BF0">
        <w:t>Any such actions by an employee will be investigated and may result in criminal proceedings and/or disciplinary action.</w:t>
      </w:r>
    </w:p>
    <w:p w14:paraId="422B2500" w14:textId="77777777" w:rsidR="004F2BF0" w:rsidRPr="007E4311" w:rsidRDefault="004F2BF0" w:rsidP="004F2BF0">
      <w:pPr>
        <w:pStyle w:val="Heading2"/>
      </w:pPr>
      <w:bookmarkStart w:id="90" w:name="_Toc189822252"/>
      <w:bookmarkStart w:id="91" w:name="_Toc203466149"/>
      <w:bookmarkStart w:id="92" w:name="_Toc204850209"/>
      <w:r>
        <w:t xml:space="preserve">20. </w:t>
      </w:r>
      <w:r w:rsidRPr="007E4311">
        <w:t>Accessing Police Scotland Systems</w:t>
      </w:r>
      <w:bookmarkEnd w:id="90"/>
      <w:bookmarkEnd w:id="91"/>
      <w:bookmarkEnd w:id="92"/>
    </w:p>
    <w:p w14:paraId="0C3743E0" w14:textId="77777777" w:rsidR="004F2BF0" w:rsidRDefault="004F2BF0" w:rsidP="004F2BF0">
      <w:r>
        <w:t xml:space="preserve">Personal data are processed by Police Scotland for: </w:t>
      </w:r>
    </w:p>
    <w:p w14:paraId="3F3397CE" w14:textId="77777777" w:rsidR="004F2BF0" w:rsidRDefault="004F2BF0" w:rsidP="004C3577">
      <w:pPr>
        <w:numPr>
          <w:ilvl w:val="0"/>
          <w:numId w:val="21"/>
        </w:numPr>
        <w:ind w:left="714" w:hanging="357"/>
      </w:pPr>
      <w:r>
        <w:t>All aspects of policing.</w:t>
      </w:r>
    </w:p>
    <w:p w14:paraId="395392DA" w14:textId="77777777" w:rsidR="004F2BF0" w:rsidRDefault="004F2BF0" w:rsidP="004C3577">
      <w:pPr>
        <w:numPr>
          <w:ilvl w:val="0"/>
          <w:numId w:val="21"/>
        </w:numPr>
        <w:ind w:left="714" w:hanging="357"/>
        <w:contextualSpacing/>
      </w:pPr>
      <w:r>
        <w:t xml:space="preserve">The provision of services to support policing </w:t>
      </w:r>
    </w:p>
    <w:p w14:paraId="563586F1" w14:textId="77777777" w:rsidR="004F2BF0" w:rsidRDefault="004F2BF0" w:rsidP="004C3577">
      <w:pPr>
        <w:numPr>
          <w:ilvl w:val="0"/>
          <w:numId w:val="21"/>
        </w:numPr>
        <w:ind w:left="714" w:hanging="357"/>
        <w:contextualSpacing/>
      </w:pPr>
      <w:r>
        <w:t>The provision of administration and ancillary support to policing.</w:t>
      </w:r>
    </w:p>
    <w:p w14:paraId="5E86ABE8" w14:textId="77777777" w:rsidR="004F2BF0" w:rsidRDefault="004F2BF0" w:rsidP="004F2BF0">
      <w:r>
        <w:t>All officers and staff will receive training specific to the relevant systems and processes they use, and this may consist of on-the-job training.</w:t>
      </w:r>
    </w:p>
    <w:p w14:paraId="6F7DD3BF" w14:textId="77777777" w:rsidR="004F2BF0" w:rsidRDefault="004F2BF0" w:rsidP="004F2BF0">
      <w:pPr>
        <w:pStyle w:val="Heading3"/>
      </w:pPr>
      <w:bookmarkStart w:id="93" w:name="_Toc189822253"/>
      <w:bookmarkStart w:id="94" w:name="_Toc203466150"/>
      <w:bookmarkStart w:id="95" w:name="_Toc204850210"/>
      <w:r>
        <w:t xml:space="preserve">Personal Data within Police Scotland Systems to which access </w:t>
      </w:r>
      <w:r w:rsidRPr="00E537A7">
        <w:t>is</w:t>
      </w:r>
      <w:r>
        <w:t xml:space="preserve"> permitted</w:t>
      </w:r>
      <w:bookmarkEnd w:id="93"/>
      <w:bookmarkEnd w:id="94"/>
      <w:bookmarkEnd w:id="95"/>
    </w:p>
    <w:p w14:paraId="493138E0" w14:textId="77777777" w:rsidR="004F2BF0" w:rsidRDefault="004F2BF0" w:rsidP="004F2BF0">
      <w:r>
        <w:t xml:space="preserve">Access to personal data within Police systems, whether held electronically or in manual records is permitted by Police Scotland to enable officers/employees to carry out their specific roles within their business areas. </w:t>
      </w:r>
    </w:p>
    <w:p w14:paraId="005FD833" w14:textId="77777777" w:rsidR="004F2BF0" w:rsidRDefault="004F2BF0" w:rsidP="004F2BF0">
      <w:r>
        <w:t xml:space="preserve">The permission to access a system extends only to the specific records within that system which need to be accessed to allow officers and staff to carry out their role. </w:t>
      </w:r>
    </w:p>
    <w:p w14:paraId="77F5C270" w14:textId="77777777" w:rsidR="004F2BF0" w:rsidRDefault="004F2BF0" w:rsidP="004F2BF0">
      <w:r>
        <w:t xml:space="preserve">Certain employees, as part of their specific roles are permitted to access records of other employees of Police Scotland. </w:t>
      </w:r>
    </w:p>
    <w:p w14:paraId="2A313F72" w14:textId="77777777" w:rsidR="004F2BF0" w:rsidRDefault="004F2BF0" w:rsidP="004F2BF0">
      <w:r>
        <w:t xml:space="preserve">Examples of these are, Anti-Corruption Unit (ACU), Information Management, Professional Standards Department (PSD), People and Development (P and D), and ICT. </w:t>
      </w:r>
    </w:p>
    <w:p w14:paraId="3E5BCAE9" w14:textId="77777777" w:rsidR="004F2BF0" w:rsidRDefault="004F2BF0" w:rsidP="004F2BF0">
      <w:r>
        <w:lastRenderedPageBreak/>
        <w:t xml:space="preserve">In all such cases, the access is limited to those records necessary for the purpose of carrying out the duties of the role. </w:t>
      </w:r>
    </w:p>
    <w:p w14:paraId="628425F5" w14:textId="77777777" w:rsidR="004F2BF0" w:rsidRDefault="004F2BF0" w:rsidP="004F2BF0">
      <w:r>
        <w:t xml:space="preserve">Officers and staff may access their own SCoPE record and the SCoPE records for other personnel within Police Scotland for whom they have management responsibilities or when required for P and D or for administrative or business purposes. </w:t>
      </w:r>
    </w:p>
    <w:p w14:paraId="02B115A1" w14:textId="77777777" w:rsidR="004F2BF0" w:rsidRDefault="004F2BF0" w:rsidP="004F2BF0">
      <w:pPr>
        <w:pStyle w:val="Heading3"/>
      </w:pPr>
      <w:bookmarkStart w:id="96" w:name="_Toc189822254"/>
      <w:bookmarkStart w:id="97" w:name="_Toc203466151"/>
      <w:bookmarkStart w:id="98" w:name="_Toc204850211"/>
      <w:r>
        <w:t>Personal Data within Police Scotland Systems to which Access is not Permitted</w:t>
      </w:r>
      <w:bookmarkEnd w:id="96"/>
      <w:bookmarkEnd w:id="97"/>
      <w:bookmarkEnd w:id="98"/>
    </w:p>
    <w:p w14:paraId="5E976AFF" w14:textId="77777777" w:rsidR="004F2BF0" w:rsidRDefault="004F2BF0" w:rsidP="004F2BF0">
      <w:r>
        <w:t>Employees do not have permission to access any record which is not necessary for the purposes of their job role. Accessing such records may constitute a criminal offence.</w:t>
      </w:r>
    </w:p>
    <w:p w14:paraId="71F0AA9A" w14:textId="77777777" w:rsidR="004F2BF0" w:rsidRDefault="004F2BF0" w:rsidP="004F2BF0">
      <w:r>
        <w:t>Such records include:</w:t>
      </w:r>
    </w:p>
    <w:p w14:paraId="38CDD15A" w14:textId="77777777" w:rsidR="004F2BF0" w:rsidRDefault="004F2BF0" w:rsidP="004C3577">
      <w:pPr>
        <w:numPr>
          <w:ilvl w:val="0"/>
          <w:numId w:val="22"/>
        </w:numPr>
        <w:ind w:left="714" w:hanging="357"/>
      </w:pPr>
      <w:r>
        <w:t xml:space="preserve">Records of people known to them through their personal </w:t>
      </w:r>
      <w:r w:rsidRPr="00E537A7">
        <w:t>life,</w:t>
      </w:r>
      <w:r>
        <w:t xml:space="preserve"> even if requested to by such a person; (see below relating to accessing such records through the normal course of the job role).</w:t>
      </w:r>
    </w:p>
    <w:p w14:paraId="4AE549D4" w14:textId="77777777" w:rsidR="004F2BF0" w:rsidRDefault="004F2BF0" w:rsidP="004C3577">
      <w:pPr>
        <w:numPr>
          <w:ilvl w:val="0"/>
          <w:numId w:val="22"/>
        </w:numPr>
        <w:ind w:left="714" w:hanging="357"/>
        <w:contextualSpacing/>
      </w:pPr>
      <w:r>
        <w:t xml:space="preserve">Records to trace a person, vehicle or address for personal reasons. </w:t>
      </w:r>
    </w:p>
    <w:p w14:paraId="594E2594" w14:textId="77777777" w:rsidR="004F2BF0" w:rsidRDefault="004F2BF0" w:rsidP="004C3577">
      <w:pPr>
        <w:numPr>
          <w:ilvl w:val="0"/>
          <w:numId w:val="22"/>
        </w:numPr>
        <w:ind w:left="714" w:hanging="357"/>
        <w:contextualSpacing/>
      </w:pPr>
      <w:r>
        <w:t xml:space="preserve">Records of </w:t>
      </w:r>
      <w:r w:rsidRPr="008C6C46">
        <w:rPr>
          <w:bCs/>
        </w:rPr>
        <w:t>any</w:t>
      </w:r>
      <w:r>
        <w:t xml:space="preserve"> other police employee </w:t>
      </w:r>
      <w:r w:rsidRPr="008C6C46">
        <w:rPr>
          <w:bCs/>
        </w:rPr>
        <w:t xml:space="preserve">including </w:t>
      </w:r>
      <w:r>
        <w:t>their own; (but see reference to SCoPE record above).</w:t>
      </w:r>
    </w:p>
    <w:p w14:paraId="26047742" w14:textId="77777777" w:rsidR="004F2BF0" w:rsidRDefault="004F2BF0" w:rsidP="004C3577">
      <w:pPr>
        <w:numPr>
          <w:ilvl w:val="0"/>
          <w:numId w:val="22"/>
        </w:numPr>
        <w:ind w:left="714" w:hanging="357"/>
        <w:contextualSpacing/>
      </w:pPr>
      <w:r>
        <w:t xml:space="preserve">Accessing any record out of curiosity, or due to an interest in a specific type of case, e.g. sexual or violent, or because a case is high profile. </w:t>
      </w:r>
    </w:p>
    <w:p w14:paraId="145FE650" w14:textId="77777777" w:rsidR="004F2BF0" w:rsidRDefault="004F2BF0" w:rsidP="004F2BF0">
      <w:r>
        <w:t>The term ‘personal life’ relates to their life outside the Force but is not intended to include a person with whom officers and staff have a passing acquaintance. It is not a chance meeting with a person which may be repeated from time to time.</w:t>
      </w:r>
    </w:p>
    <w:p w14:paraId="3E133B8B" w14:textId="77777777" w:rsidR="004F2BF0" w:rsidRDefault="004F2BF0" w:rsidP="004F2BF0">
      <w:r>
        <w:t>If at all possible, officers and staff should not be allowed to be involved in an investigation relating to anyone known to them through their personal life, except in the role of a witness if necessary, and under no circumstances should they attempt to access the records of the investigation.</w:t>
      </w:r>
    </w:p>
    <w:p w14:paraId="02E00AFB" w14:textId="77777777" w:rsidR="004F2BF0" w:rsidRDefault="004F2BF0" w:rsidP="004F2BF0">
      <w:r>
        <w:t xml:space="preserve">Should it be necessary for an officer or member of staff to be involved in an investigation of a person known to them through their personal life, e.g. where no one else is available, the relevant supervisor must allocate the investigation to </w:t>
      </w:r>
      <w:r>
        <w:lastRenderedPageBreak/>
        <w:t>another officer as soon as possible and record their reason. In any cases of doubt, guidance should be sought from PSD/ACU.</w:t>
      </w:r>
    </w:p>
    <w:p w14:paraId="6811FD99" w14:textId="77777777" w:rsidR="004F2BF0" w:rsidRDefault="004F2BF0" w:rsidP="004F2BF0">
      <w:r>
        <w:t>Any unauthorised attempts to access data, e.g. because a record is restricted, will be considered a breach of professional behaviour and may be investigated under the relevant conduct/disciplinary procedures. Police Scotland has the ability and right to monitor access or attempts to access the data it holds.</w:t>
      </w:r>
    </w:p>
    <w:p w14:paraId="153ABC31" w14:textId="77777777" w:rsidR="004F2BF0" w:rsidRPr="003B4F55" w:rsidRDefault="004F2BF0" w:rsidP="004F2BF0">
      <w:pPr>
        <w:rPr>
          <w:strike/>
        </w:rPr>
      </w:pPr>
      <w:r>
        <w:t xml:space="preserve">These controls are not designed to restrict officers and staff from performing their roles. A reasonable test to apply is to </w:t>
      </w:r>
      <w:proofErr w:type="gramStart"/>
      <w:r>
        <w:t>ask</w:t>
      </w:r>
      <w:proofErr w:type="gramEnd"/>
      <w:r>
        <w:t xml:space="preserve"> “Taking account of the instructions within this document, can I justify accessing this record for a specific lawful purpose?” If there is any doubt, then do not access the record. </w:t>
      </w:r>
      <w:proofErr w:type="gramStart"/>
      <w:r>
        <w:t>Instead</w:t>
      </w:r>
      <w:proofErr w:type="gramEnd"/>
      <w:r>
        <w:t xml:space="preserve"> guidance should be sought from the relevant line manager, PSD, ACU or </w:t>
      </w:r>
      <w:r w:rsidRPr="00B27066">
        <w:t>Information Assurance.</w:t>
      </w:r>
    </w:p>
    <w:p w14:paraId="0952539C" w14:textId="77777777" w:rsidR="004F2BF0" w:rsidRDefault="004F2BF0" w:rsidP="004F2BF0">
      <w:pPr>
        <w:pStyle w:val="Heading3"/>
      </w:pPr>
      <w:bookmarkStart w:id="99" w:name="_Toc189822255"/>
      <w:bookmarkStart w:id="100" w:name="_Toc203466152"/>
      <w:bookmarkStart w:id="101" w:name="_Toc204850212"/>
      <w:r>
        <w:t>Personal Data Accessed Through Normal Working Practices</w:t>
      </w:r>
      <w:bookmarkEnd w:id="99"/>
      <w:bookmarkEnd w:id="100"/>
      <w:bookmarkEnd w:id="101"/>
    </w:p>
    <w:p w14:paraId="365E36CD" w14:textId="77777777" w:rsidR="004F2BF0" w:rsidRDefault="004F2BF0" w:rsidP="004F2BF0">
      <w:r>
        <w:t>If during the course of carrying out their role, an officer or member of staff discovers that they have accessed the record of an individual known to them through their personal life, they must:</w:t>
      </w:r>
    </w:p>
    <w:p w14:paraId="576939FA" w14:textId="77777777" w:rsidR="004F2BF0" w:rsidRDefault="004F2BF0" w:rsidP="004C3577">
      <w:pPr>
        <w:numPr>
          <w:ilvl w:val="0"/>
          <w:numId w:val="23"/>
        </w:numPr>
        <w:ind w:left="714" w:hanging="357"/>
      </w:pPr>
      <w:r>
        <w:t>Immediately log out of the record relating to that person.</w:t>
      </w:r>
    </w:p>
    <w:p w14:paraId="7AE20E0C" w14:textId="77777777" w:rsidR="004F2BF0" w:rsidRDefault="004F2BF0" w:rsidP="004C3577">
      <w:pPr>
        <w:numPr>
          <w:ilvl w:val="0"/>
          <w:numId w:val="23"/>
        </w:numPr>
        <w:ind w:left="714" w:hanging="357"/>
        <w:contextualSpacing/>
      </w:pPr>
      <w:r>
        <w:t xml:space="preserve">Bring it to the attention of their supervisor, and </w:t>
      </w:r>
    </w:p>
    <w:p w14:paraId="4D41E795" w14:textId="77777777" w:rsidR="004F2BF0" w:rsidRDefault="004F2BF0" w:rsidP="004C3577">
      <w:pPr>
        <w:numPr>
          <w:ilvl w:val="0"/>
          <w:numId w:val="23"/>
        </w:numPr>
        <w:ind w:left="714" w:hanging="357"/>
        <w:contextualSpacing/>
      </w:pPr>
      <w:r>
        <w:t>Provide them with evidence in support of why the record was accessed.</w:t>
      </w:r>
    </w:p>
    <w:p w14:paraId="745E1777" w14:textId="77777777" w:rsidR="004F2BF0" w:rsidRDefault="004F2BF0" w:rsidP="004F2BF0">
      <w:r>
        <w:t xml:space="preserve">The supervisor will then allocate the work to another officer or member of staff unless it is not possible due to exceptional circumstances e.g. there is no one else available to whom the work can be allocated, and it cannot be delayed. </w:t>
      </w:r>
    </w:p>
    <w:p w14:paraId="58B7365A" w14:textId="77777777" w:rsidR="004F2BF0" w:rsidRDefault="004F2BF0" w:rsidP="004F2BF0">
      <w:r>
        <w:t>Permission to continue with the work must be authorised by an officer not below the rank of at least Inspector or by a police staff manager not below Grade 7, and at least one rank/grade above the individual concerned. The authorisation must be recorded and available in an auditable format.</w:t>
      </w:r>
    </w:p>
    <w:p w14:paraId="07ACF9EF" w14:textId="77777777" w:rsidR="004F2BF0" w:rsidRDefault="004F2BF0" w:rsidP="004F2BF0">
      <w:r>
        <w:t>The exception to the above guidance is when responding to a 999 call, when the call should be dealt with before taking the action above.</w:t>
      </w:r>
    </w:p>
    <w:p w14:paraId="2CDBFE11" w14:textId="77777777" w:rsidR="004F2BF0" w:rsidRPr="004F2BF0" w:rsidRDefault="004F2BF0" w:rsidP="004F2BF0"/>
    <w:p w14:paraId="3EA6490B" w14:textId="77777777" w:rsidR="004F2BF0" w:rsidRPr="004F2BF0" w:rsidRDefault="004F2BF0" w:rsidP="002D7218">
      <w:pPr>
        <w:pStyle w:val="Heading2"/>
      </w:pPr>
      <w:bookmarkStart w:id="102" w:name="_Toc189822256"/>
      <w:bookmarkStart w:id="103" w:name="_Toc203466153"/>
      <w:bookmarkStart w:id="104" w:name="_Toc204850213"/>
      <w:r w:rsidRPr="004F2BF0">
        <w:lastRenderedPageBreak/>
        <w:t>21. Disclosure of Personal Data held within Police Scotland Systems</w:t>
      </w:r>
      <w:bookmarkEnd w:id="102"/>
      <w:bookmarkEnd w:id="103"/>
      <w:bookmarkEnd w:id="104"/>
    </w:p>
    <w:p w14:paraId="0C4CF2DB" w14:textId="77777777" w:rsidR="004F2BF0" w:rsidRPr="004F2BF0" w:rsidRDefault="004F2BF0" w:rsidP="004F2BF0">
      <w:r w:rsidRPr="004F2BF0">
        <w:t>Information must only be disclosed when it is lawful to do so. Unlawful disclosure can be a criminal offence, see section 19 above.</w:t>
      </w:r>
    </w:p>
    <w:p w14:paraId="7F0D7673" w14:textId="77777777" w:rsidR="004F2BF0" w:rsidRPr="004F2BF0" w:rsidRDefault="004F2BF0" w:rsidP="004F2BF0">
      <w:r w:rsidRPr="004F2BF0">
        <w:t>Officers and staff must be trained for their roles, as per section 20 above. This will include guidance, when relevant to the role, on sharing information routinely with a variety of external bodies/partner organisations such as Local Authorities.</w:t>
      </w:r>
    </w:p>
    <w:p w14:paraId="42861123" w14:textId="77777777" w:rsidR="004F2BF0" w:rsidRPr="004F2BF0" w:rsidRDefault="004F2BF0" w:rsidP="004F2BF0">
      <w:r w:rsidRPr="004F2BF0">
        <w:t xml:space="preserve">When there is any question or doubt as to whether the information should be disclosed, advice </w:t>
      </w:r>
      <w:r w:rsidRPr="004F2BF0">
        <w:rPr>
          <w:bCs/>
        </w:rPr>
        <w:t>must be sought</w:t>
      </w:r>
      <w:r w:rsidRPr="004F2BF0">
        <w:t xml:space="preserve"> from the relevant supervisor or Information Assurance.</w:t>
      </w:r>
    </w:p>
    <w:p w14:paraId="2C4C5331" w14:textId="4636B703" w:rsidR="004F2BF0" w:rsidRPr="004F2BF0" w:rsidRDefault="004F2BF0" w:rsidP="004F2BF0">
      <w:r w:rsidRPr="004F2BF0">
        <w:t xml:space="preserve">It must not be assumed that because an external body/partner asks for the information, that they are entitled to have it. Further guidance can be obtained from the </w:t>
      </w:r>
      <w:r w:rsidRPr="004F2BF0">
        <w:rPr>
          <w:color w:val="0000FF"/>
          <w:u w:val="single"/>
        </w:rPr>
        <w:t>Information Sharing SOP</w:t>
      </w:r>
      <w:r w:rsidRPr="004F2BF0">
        <w:t xml:space="preserve"> and Information Assurance.</w:t>
      </w:r>
    </w:p>
    <w:p w14:paraId="7A1D482A" w14:textId="269EA3C9" w:rsidR="004F2BF0" w:rsidRDefault="004F2BF0" w:rsidP="004F2BF0">
      <w:r w:rsidRPr="004F2BF0">
        <w:t>DP legislation does not apply to the personal data of deceased persons, but it does apply to the living relatives of, or other people who had been involved with the deceased. Care must be taken therefore not to breach the legislation by making unlawful disclosures regarding these persons when making disclosures relating to a deceased person.</w:t>
      </w:r>
    </w:p>
    <w:p w14:paraId="3A8A2097" w14:textId="77777777" w:rsidR="004F2BF0" w:rsidRPr="004F2BF0" w:rsidRDefault="004F2BF0" w:rsidP="002D7218">
      <w:pPr>
        <w:pStyle w:val="Heading2"/>
      </w:pPr>
      <w:bookmarkStart w:id="105" w:name="_Toc189822257"/>
      <w:bookmarkStart w:id="106" w:name="_Toc203466154"/>
      <w:bookmarkStart w:id="107" w:name="_Toc204850214"/>
      <w:r w:rsidRPr="004F2BF0">
        <w:t>22. Suspected Breaches of the Act – Section 170 to 173</w:t>
      </w:r>
      <w:bookmarkEnd w:id="105"/>
      <w:bookmarkEnd w:id="106"/>
      <w:bookmarkEnd w:id="107"/>
    </w:p>
    <w:p w14:paraId="60110AA9" w14:textId="77777777" w:rsidR="004F2BF0" w:rsidRPr="004F2BF0" w:rsidRDefault="004F2BF0" w:rsidP="004F2BF0">
      <w:r w:rsidRPr="004F2BF0">
        <w:t>All suspected breaches of the Act, will either be:</w:t>
      </w:r>
    </w:p>
    <w:p w14:paraId="08D2CC04" w14:textId="77777777" w:rsidR="004F2BF0" w:rsidRPr="004F2BF0" w:rsidRDefault="004F2BF0" w:rsidP="004C3577">
      <w:pPr>
        <w:numPr>
          <w:ilvl w:val="0"/>
          <w:numId w:val="24"/>
        </w:numPr>
        <w:ind w:left="714" w:hanging="357"/>
      </w:pPr>
      <w:r w:rsidRPr="004F2BF0">
        <w:t>Reported to the Crown Office and Procurator Fiscal Service (COPFS) Criminal Allegations Against the Police Department (CAAPD) or</w:t>
      </w:r>
    </w:p>
    <w:p w14:paraId="19E96808" w14:textId="77777777" w:rsidR="004F2BF0" w:rsidRPr="004F2BF0" w:rsidRDefault="004F2BF0" w:rsidP="004C3577">
      <w:pPr>
        <w:numPr>
          <w:ilvl w:val="0"/>
          <w:numId w:val="24"/>
        </w:numPr>
        <w:ind w:left="714" w:hanging="357"/>
        <w:contextualSpacing/>
      </w:pPr>
      <w:r w:rsidRPr="004F2BF0">
        <w:t xml:space="preserve">Will be dealt with in accordance with agreed protocols: </w:t>
      </w:r>
    </w:p>
    <w:p w14:paraId="2A48C5B0" w14:textId="77777777" w:rsidR="004F2BF0" w:rsidRPr="004F2BF0" w:rsidRDefault="004F2BF0" w:rsidP="004C3577">
      <w:pPr>
        <w:numPr>
          <w:ilvl w:val="0"/>
          <w:numId w:val="25"/>
        </w:numPr>
        <w:ind w:left="1434" w:hanging="357"/>
        <w:contextualSpacing/>
      </w:pPr>
      <w:r w:rsidRPr="004F2BF0">
        <w:t>For officers below the rank of Assistant Chief Constable, regardless of whether COPFS decides to prosecute, a breach of the Act can also constitute a breach of the Standards of Professional Behaviour and amount to misconduct or gross misconduct. Any such breach will be referred to PSD.</w:t>
      </w:r>
    </w:p>
    <w:p w14:paraId="44D4AF0E" w14:textId="77777777" w:rsidR="004F2BF0" w:rsidRPr="004F2BF0" w:rsidRDefault="004F2BF0" w:rsidP="004C3577">
      <w:pPr>
        <w:numPr>
          <w:ilvl w:val="0"/>
          <w:numId w:val="25"/>
        </w:numPr>
        <w:ind w:left="1434" w:hanging="357"/>
        <w:contextualSpacing/>
      </w:pPr>
      <w:r w:rsidRPr="004F2BF0">
        <w:lastRenderedPageBreak/>
        <w:t>For senior officers, i.e. Assistant Chief Constable, Deputy Chief Constable and Chief Constable, any suspected breach will be investigated by the Scottish Police Authority.</w:t>
      </w:r>
    </w:p>
    <w:p w14:paraId="2E4C75D1" w14:textId="21D9ABA0" w:rsidR="004F2BF0" w:rsidRPr="004F2BF0" w:rsidRDefault="004F2BF0" w:rsidP="004C3577">
      <w:pPr>
        <w:numPr>
          <w:ilvl w:val="0"/>
          <w:numId w:val="25"/>
        </w:numPr>
        <w:ind w:left="1434" w:hanging="357"/>
        <w:contextualSpacing/>
        <w:rPr>
          <w:strike/>
        </w:rPr>
      </w:pPr>
      <w:r w:rsidRPr="004F2BF0">
        <w:t xml:space="preserve">For police staff a breach of the Act can also constitute a breach of the </w:t>
      </w:r>
      <w:r w:rsidRPr="004F2BF0">
        <w:rPr>
          <w:color w:val="0000FF"/>
          <w:u w:val="single"/>
        </w:rPr>
        <w:t>Disciplinary Procedure</w:t>
      </w:r>
      <w:r w:rsidRPr="004F2BF0">
        <w:t xml:space="preserve"> and/or the </w:t>
      </w:r>
      <w:r w:rsidRPr="004F2BF0">
        <w:rPr>
          <w:color w:val="0000FF"/>
          <w:u w:val="single"/>
        </w:rPr>
        <w:t>Code of Conduct</w:t>
      </w:r>
      <w:r w:rsidRPr="004F2BF0">
        <w:t xml:space="preserve">. Any breach of the Code of Conduct will be investigated and </w:t>
      </w:r>
      <w:proofErr w:type="gramStart"/>
      <w:r w:rsidRPr="004F2BF0">
        <w:t>assessed, and</w:t>
      </w:r>
      <w:proofErr w:type="gramEnd"/>
      <w:r w:rsidRPr="004F2BF0">
        <w:t xml:space="preserve"> may make you liable to criminal and/or disciplinary action.  </w:t>
      </w:r>
    </w:p>
    <w:p w14:paraId="52E4C40E" w14:textId="29B8B003" w:rsidR="004F2BF0" w:rsidRPr="004F2BF0" w:rsidRDefault="004F2BF0" w:rsidP="007B1CEA">
      <w:pPr>
        <w:rPr>
          <w:strike/>
        </w:rPr>
      </w:pPr>
      <w:r w:rsidRPr="004F2BF0">
        <w:t xml:space="preserve">Breaches meeting the statutory threshold will also be reported to the Information Commissioner’s Office (ICO) in accordance with the </w:t>
      </w:r>
      <w:r w:rsidRPr="004F2BF0">
        <w:rPr>
          <w:color w:val="0000FF"/>
          <w:u w:val="single"/>
        </w:rPr>
        <w:t>Information Security SOP</w:t>
      </w:r>
      <w:r w:rsidRPr="004F2BF0">
        <w:t>.</w:t>
      </w:r>
    </w:p>
    <w:p w14:paraId="125D62D6" w14:textId="77777777" w:rsidR="004F2BF0" w:rsidRPr="004F2BF0" w:rsidRDefault="004F2BF0" w:rsidP="002D7218">
      <w:pPr>
        <w:pStyle w:val="Heading2"/>
      </w:pPr>
      <w:bookmarkStart w:id="108" w:name="_Toc189822258"/>
      <w:bookmarkStart w:id="109" w:name="_Toc203466155"/>
      <w:bookmarkStart w:id="110" w:name="_Toc204850215"/>
      <w:r w:rsidRPr="004F2BF0">
        <w:t>23. Concerns Regarding Conduct of Others</w:t>
      </w:r>
      <w:bookmarkEnd w:id="108"/>
      <w:bookmarkEnd w:id="109"/>
      <w:bookmarkEnd w:id="110"/>
    </w:p>
    <w:p w14:paraId="23A57746" w14:textId="77777777" w:rsidR="004F2BF0" w:rsidRPr="004F2BF0" w:rsidRDefault="004F2BF0" w:rsidP="004F2BF0">
      <w:r w:rsidRPr="004F2BF0">
        <w:t>If an officer or member of staff has any concerns regarding the conduct of a colleague or a person known to them through their personal life, they must not access/attempt to access any records of that individual but instead they can use any of the following channels to report them:</w:t>
      </w:r>
    </w:p>
    <w:p w14:paraId="1DDD6F81" w14:textId="77777777" w:rsidR="004F2BF0" w:rsidRPr="004F2BF0" w:rsidRDefault="004F2BF0" w:rsidP="004C3577">
      <w:pPr>
        <w:numPr>
          <w:ilvl w:val="0"/>
          <w:numId w:val="26"/>
        </w:numPr>
        <w:ind w:left="714" w:hanging="357"/>
      </w:pPr>
      <w:r w:rsidRPr="004F2BF0">
        <w:t>Through line management.</w:t>
      </w:r>
    </w:p>
    <w:p w14:paraId="530B6EBF" w14:textId="77777777" w:rsidR="004F2BF0" w:rsidRPr="004F2BF0" w:rsidRDefault="004F2BF0" w:rsidP="004C3577">
      <w:pPr>
        <w:numPr>
          <w:ilvl w:val="0"/>
          <w:numId w:val="26"/>
        </w:numPr>
        <w:ind w:left="714" w:hanging="357"/>
        <w:contextualSpacing/>
      </w:pPr>
      <w:r w:rsidRPr="004F2BF0">
        <w:t>Directly to ACU or PSD.</w:t>
      </w:r>
    </w:p>
    <w:p w14:paraId="78A468C7" w14:textId="77777777" w:rsidR="004F2BF0" w:rsidRPr="004F2BF0" w:rsidRDefault="004F2BF0" w:rsidP="004C3577">
      <w:pPr>
        <w:numPr>
          <w:ilvl w:val="0"/>
          <w:numId w:val="26"/>
        </w:numPr>
        <w:ind w:left="714" w:hanging="357"/>
        <w:contextualSpacing/>
      </w:pPr>
      <w:r w:rsidRPr="004F2BF0">
        <w:t>Reported to the Crown Office and Procurator Fiscal Service (COPFS) Criminal Allegations Against the Police Department (CAAPD) or</w:t>
      </w:r>
    </w:p>
    <w:p w14:paraId="5654A0DD" w14:textId="322A3642" w:rsidR="004F2BF0" w:rsidRPr="004F2BF0" w:rsidRDefault="004F2BF0" w:rsidP="004C3577">
      <w:pPr>
        <w:numPr>
          <w:ilvl w:val="0"/>
          <w:numId w:val="26"/>
        </w:numPr>
        <w:ind w:left="714" w:hanging="357"/>
        <w:contextualSpacing/>
      </w:pPr>
      <w:r w:rsidRPr="004F2BF0">
        <w:t xml:space="preserve">Through the </w:t>
      </w:r>
      <w:r w:rsidRPr="004F2BF0">
        <w:rPr>
          <w:color w:val="0000FF"/>
          <w:u w:val="single"/>
        </w:rPr>
        <w:t>Integrity Matters</w:t>
      </w:r>
      <w:r w:rsidRPr="004F2BF0">
        <w:t xml:space="preserve"> link on the intranet which also provides guidance on what should be reported. This can be done anonymously if preferred.</w:t>
      </w:r>
    </w:p>
    <w:p w14:paraId="664E55CF" w14:textId="23E39559" w:rsidR="004F2BF0" w:rsidRPr="004F2BF0" w:rsidRDefault="004F2BF0" w:rsidP="004C3577">
      <w:pPr>
        <w:numPr>
          <w:ilvl w:val="0"/>
          <w:numId w:val="26"/>
        </w:numPr>
        <w:ind w:left="714" w:hanging="357"/>
        <w:contextualSpacing/>
      </w:pPr>
      <w:r w:rsidRPr="004F2BF0">
        <w:t>Through Crimestoppers.</w:t>
      </w:r>
    </w:p>
    <w:p w14:paraId="687ED04F" w14:textId="77777777" w:rsidR="004F2BF0" w:rsidRPr="004F2BF0" w:rsidRDefault="004F2BF0" w:rsidP="002D7218">
      <w:pPr>
        <w:pStyle w:val="Heading2"/>
      </w:pPr>
      <w:bookmarkStart w:id="111" w:name="_Toc189822259"/>
      <w:bookmarkStart w:id="112" w:name="_Toc203466156"/>
      <w:bookmarkStart w:id="113" w:name="_Toc204850216"/>
      <w:r w:rsidRPr="004F2BF0">
        <w:t>24. How Officers and Staff obtain their Personal Data held by Police Scotland</w:t>
      </w:r>
      <w:bookmarkEnd w:id="111"/>
      <w:bookmarkEnd w:id="112"/>
      <w:bookmarkEnd w:id="113"/>
    </w:p>
    <w:p w14:paraId="640A4854" w14:textId="77777777" w:rsidR="004F2BF0" w:rsidRPr="004F2BF0" w:rsidRDefault="004F2BF0" w:rsidP="004F2BF0">
      <w:r w:rsidRPr="004F2BF0">
        <w:t xml:space="preserve">Officers and staff may access their own SCoPE record. </w:t>
      </w:r>
      <w:proofErr w:type="gramStart"/>
      <w:r w:rsidRPr="004F2BF0">
        <w:t>If</w:t>
      </w:r>
      <w:proofErr w:type="gramEnd"/>
      <w:r w:rsidRPr="004F2BF0">
        <w:t xml:space="preserve"> however, you want to know what other personal data is held by Police Scotland in relation to you:</w:t>
      </w:r>
    </w:p>
    <w:p w14:paraId="7985B25A" w14:textId="77777777" w:rsidR="004F2BF0" w:rsidRPr="004F2BF0" w:rsidRDefault="004F2BF0" w:rsidP="004C3577">
      <w:pPr>
        <w:numPr>
          <w:ilvl w:val="0"/>
          <w:numId w:val="27"/>
        </w:numPr>
        <w:ind w:left="714" w:hanging="357"/>
      </w:pPr>
      <w:r w:rsidRPr="004F2BF0">
        <w:t>A request can be made to People and Development who will allow you to view your personnel file and will provide you with copies of up to 4 items from it.</w:t>
      </w:r>
    </w:p>
    <w:p w14:paraId="19181FDB" w14:textId="6F179CBF" w:rsidR="004F2BF0" w:rsidRPr="004F2BF0" w:rsidRDefault="004F2BF0" w:rsidP="004C3577">
      <w:pPr>
        <w:numPr>
          <w:ilvl w:val="0"/>
          <w:numId w:val="27"/>
        </w:numPr>
        <w:ind w:left="714" w:hanging="357"/>
        <w:contextualSpacing/>
      </w:pPr>
      <w:r w:rsidRPr="004F2BF0">
        <w:lastRenderedPageBreak/>
        <w:t xml:space="preserve">Officers/staff involved in a grievance or disciplinary process are permitted to see certain information. Please refer to the </w:t>
      </w:r>
      <w:r w:rsidRPr="004F2BF0">
        <w:rPr>
          <w:color w:val="0000FF"/>
          <w:u w:val="single"/>
        </w:rPr>
        <w:t>Policy Hub</w:t>
      </w:r>
      <w:r w:rsidRPr="004F2BF0">
        <w:t xml:space="preserve"> for further detail on these processes.</w:t>
      </w:r>
    </w:p>
    <w:p w14:paraId="0092F4BF" w14:textId="77A45381" w:rsidR="004F2BF0" w:rsidRPr="004F2BF0" w:rsidRDefault="004F2BF0" w:rsidP="004C3577">
      <w:pPr>
        <w:numPr>
          <w:ilvl w:val="0"/>
          <w:numId w:val="27"/>
        </w:numPr>
        <w:ind w:left="714" w:hanging="357"/>
        <w:contextualSpacing/>
      </w:pPr>
      <w:r w:rsidRPr="004F2BF0">
        <w:t xml:space="preserve">A Subject Access Request (SAR) using </w:t>
      </w:r>
      <w:r w:rsidRPr="004F2BF0">
        <w:rPr>
          <w:color w:val="0000FF"/>
          <w:u w:val="single"/>
        </w:rPr>
        <w:t>Request for Access to Information (Form 052-002)</w:t>
      </w:r>
      <w:r w:rsidRPr="004F2BF0">
        <w:t xml:space="preserve"> and can be submitted, following the direction on the form. This is a statutory right. There is no charge for this.</w:t>
      </w:r>
    </w:p>
    <w:p w14:paraId="0C5F481B" w14:textId="77777777" w:rsidR="004F2BF0" w:rsidRPr="002D7218" w:rsidRDefault="004F2BF0" w:rsidP="002D7218">
      <w:pPr>
        <w:pStyle w:val="Heading2"/>
      </w:pPr>
      <w:bookmarkStart w:id="114" w:name="_Toc189822260"/>
      <w:bookmarkStart w:id="115" w:name="_Toc203466157"/>
      <w:bookmarkStart w:id="116" w:name="_Toc204850217"/>
      <w:r w:rsidRPr="002D7218">
        <w:t>25. Monitoring</w:t>
      </w:r>
      <w:bookmarkEnd w:id="114"/>
      <w:bookmarkEnd w:id="115"/>
      <w:bookmarkEnd w:id="116"/>
    </w:p>
    <w:p w14:paraId="3E5DE530" w14:textId="77777777" w:rsidR="004F2BF0" w:rsidRPr="00E537A7" w:rsidRDefault="004F2BF0" w:rsidP="004F2BF0">
      <w:r w:rsidRPr="00E537A7">
        <w:t xml:space="preserve">Compliance with this </w:t>
      </w:r>
      <w:r>
        <w:t>i</w:t>
      </w:r>
      <w:r w:rsidRPr="00BD1343">
        <w:t>nstruction</w:t>
      </w:r>
      <w:r>
        <w:t xml:space="preserve"> </w:t>
      </w:r>
      <w:r w:rsidRPr="00E537A7">
        <w:t>will be monitored via the DPO and the responsible teams reporting to Data Governance Board.</w:t>
      </w:r>
    </w:p>
    <w:p w14:paraId="3C9990D4" w14:textId="593D7F86" w:rsidR="004F2BF0" w:rsidRDefault="004F2BF0" w:rsidP="004F2BF0">
      <w:pPr>
        <w:pStyle w:val="ParagraphContent"/>
        <w:spacing w:before="240" w:after="0"/>
      </w:pPr>
      <w:r w:rsidRPr="00A76273">
        <w:t xml:space="preserve">The Data Governance Board meets quarterly, chaired by the </w:t>
      </w:r>
      <w:r>
        <w:t xml:space="preserve">SIRO </w:t>
      </w:r>
      <w:r w:rsidRPr="00A76273">
        <w:t xml:space="preserve">where matters of information management (including Data Protection matters), risk and assurance are subject of strategic consideration and decision making by SIRO. </w:t>
      </w:r>
    </w:p>
    <w:p w14:paraId="422D0F95" w14:textId="77777777" w:rsidR="004F2BF0" w:rsidRPr="004F2BF0" w:rsidRDefault="004F2BF0" w:rsidP="002D7218">
      <w:pPr>
        <w:pStyle w:val="Heading2"/>
      </w:pPr>
      <w:bookmarkStart w:id="117" w:name="_Toc189822261"/>
      <w:bookmarkStart w:id="118" w:name="_Toc203466158"/>
      <w:bookmarkStart w:id="119" w:name="_Toc204850218"/>
      <w:r w:rsidRPr="004F2BF0">
        <w:t>Key Contacts</w:t>
      </w:r>
      <w:bookmarkEnd w:id="117"/>
      <w:bookmarkEnd w:id="118"/>
      <w:bookmarkEnd w:id="119"/>
    </w:p>
    <w:p w14:paraId="55BB98A6" w14:textId="14A9C131" w:rsidR="004F2BF0" w:rsidRPr="004F2BF0" w:rsidRDefault="004F2BF0" w:rsidP="004F2BF0">
      <w:r w:rsidRPr="004F2BF0">
        <w:t xml:space="preserve">Further advice and guidance regarding the contents of this SOP can be obtained from </w:t>
      </w:r>
      <w:r w:rsidRPr="004F2BF0">
        <w:rPr>
          <w:color w:val="0000FF"/>
          <w:u w:val="single"/>
        </w:rPr>
        <w:t>Information.Assurance@scotland.police.uk</w:t>
      </w:r>
      <w:r w:rsidRPr="004F2BF0">
        <w:t xml:space="preserve"> </w:t>
      </w:r>
    </w:p>
    <w:bookmarkEnd w:id="10"/>
    <w:p w14:paraId="176D376D" w14:textId="77777777" w:rsidR="00BB0914" w:rsidRDefault="00BB0914">
      <w:pPr>
        <w:spacing w:line="240" w:lineRule="auto"/>
        <w:rPr>
          <w:rFonts w:eastAsia="Times New Roman"/>
          <w:b/>
          <w:sz w:val="32"/>
          <w:szCs w:val="26"/>
        </w:rPr>
      </w:pPr>
    </w:p>
    <w:p w14:paraId="53F4098B" w14:textId="77777777" w:rsidR="00132405" w:rsidRDefault="00132405">
      <w:pPr>
        <w:spacing w:line="240" w:lineRule="auto"/>
        <w:rPr>
          <w:rFonts w:eastAsia="Times New Roman"/>
          <w:b/>
          <w:sz w:val="32"/>
          <w:szCs w:val="26"/>
        </w:rPr>
      </w:pPr>
      <w:r>
        <w:br w:type="page"/>
      </w:r>
    </w:p>
    <w:p w14:paraId="541EF522" w14:textId="77777777" w:rsidR="004546DC" w:rsidRDefault="004546DC" w:rsidP="00D13A85">
      <w:pPr>
        <w:pStyle w:val="Heading2"/>
      </w:pPr>
      <w:bookmarkStart w:id="120" w:name="_Toc203466159"/>
      <w:bookmarkStart w:id="121" w:name="_Toc204850219"/>
      <w:r w:rsidRPr="006C7D8A">
        <w:lastRenderedPageBreak/>
        <w:t xml:space="preserve">Compliance </w:t>
      </w:r>
      <w:r w:rsidR="00845E8C">
        <w:t>r</w:t>
      </w:r>
      <w:r w:rsidRPr="006C7D8A">
        <w:t>ecord</w:t>
      </w:r>
      <w:bookmarkEnd w:id="120"/>
      <w:bookmarkEnd w:id="121"/>
    </w:p>
    <w:p w14:paraId="42AEF8CF" w14:textId="73669D8E" w:rsidR="00E74798" w:rsidRDefault="00F025C4" w:rsidP="00F025C4">
      <w:pPr>
        <w:tabs>
          <w:tab w:val="left" w:pos="5245"/>
        </w:tabs>
      </w:pPr>
      <w:proofErr w:type="spellStart"/>
      <w:r>
        <w:t>EqHIRA</w:t>
      </w:r>
      <w:proofErr w:type="spellEnd"/>
      <w:r>
        <w:t xml:space="preserve"> completion/review date:</w:t>
      </w:r>
      <w:r>
        <w:tab/>
      </w:r>
      <w:r w:rsidR="004F2BF0">
        <w:t>12</w:t>
      </w:r>
      <w:r w:rsidR="00E74798">
        <w:t>/</w:t>
      </w:r>
      <w:r w:rsidR="004F2BF0">
        <w:t>02</w:t>
      </w:r>
      <w:r w:rsidR="00E74798">
        <w:t>/</w:t>
      </w:r>
      <w:r w:rsidR="004F2BF0">
        <w:t>2025</w:t>
      </w:r>
    </w:p>
    <w:p w14:paraId="4D8C06C6" w14:textId="4CF7A684" w:rsidR="00E74798" w:rsidRDefault="00E74798" w:rsidP="00F025C4">
      <w:pPr>
        <w:tabs>
          <w:tab w:val="left" w:pos="5245"/>
        </w:tabs>
      </w:pPr>
      <w:r>
        <w:t xml:space="preserve">Information Management Compliant: </w:t>
      </w:r>
      <w:r w:rsidR="00F025C4">
        <w:tab/>
      </w:r>
      <w:r w:rsidR="008B7BDE">
        <w:t>Yes</w:t>
      </w:r>
    </w:p>
    <w:p w14:paraId="2A6D23DF" w14:textId="22F7E9AE" w:rsidR="00150199" w:rsidRDefault="00E74798" w:rsidP="00F025C4">
      <w:pPr>
        <w:tabs>
          <w:tab w:val="left" w:pos="5245"/>
        </w:tabs>
      </w:pPr>
      <w:r>
        <w:t xml:space="preserve">Health and Safety Compliant: </w:t>
      </w:r>
      <w:r w:rsidR="00F025C4">
        <w:tab/>
      </w:r>
      <w:r w:rsidR="008B7BDE">
        <w:t>Yes</w:t>
      </w:r>
    </w:p>
    <w:p w14:paraId="2656DFD5" w14:textId="76149AB3" w:rsidR="00524C86" w:rsidRPr="00524C86" w:rsidRDefault="004546DC" w:rsidP="00CC2609">
      <w:pPr>
        <w:pStyle w:val="Heading2"/>
      </w:pPr>
      <w:bookmarkStart w:id="122" w:name="_Toc203466160"/>
      <w:bookmarkStart w:id="123" w:name="_Toc204850220"/>
      <w:r w:rsidRPr="00CC2609">
        <w:t xml:space="preserve">Version </w:t>
      </w:r>
      <w:r w:rsidR="00845E8C" w:rsidRPr="00CC2609">
        <w:t>c</w:t>
      </w:r>
      <w:r w:rsidRPr="00CC2609">
        <w:t xml:space="preserve">ontrol </w:t>
      </w:r>
      <w:r w:rsidR="00845E8C" w:rsidRPr="00CC2609">
        <w:t>t</w:t>
      </w:r>
      <w:r w:rsidRPr="00CC2609">
        <w:t>able</w:t>
      </w:r>
      <w:bookmarkEnd w:id="122"/>
      <w:bookmarkEnd w:id="123"/>
    </w:p>
    <w:tbl>
      <w:tblPr>
        <w:tblStyle w:val="TableGrid"/>
        <w:tblW w:w="5000" w:type="pct"/>
        <w:tblLayout w:type="fixed"/>
        <w:tblLook w:val="0620" w:firstRow="1" w:lastRow="0" w:firstColumn="0" w:lastColumn="0" w:noHBand="1" w:noVBand="1"/>
        <w:tblCaption w:val="Version Control Table"/>
        <w:tblDescription w:val="This table contains history of amendments and approval date for each version of this document. "/>
      </w:tblPr>
      <w:tblGrid>
        <w:gridCol w:w="1696"/>
        <w:gridCol w:w="5344"/>
        <w:gridCol w:w="1998"/>
      </w:tblGrid>
      <w:tr w:rsidR="004546DC" w:rsidRPr="00A324B2" w14:paraId="3E70C887" w14:textId="77777777" w:rsidTr="00CC2609">
        <w:trPr>
          <w:trHeight w:val="307"/>
        </w:trPr>
        <w:tc>
          <w:tcPr>
            <w:tcW w:w="1696" w:type="dxa"/>
          </w:tcPr>
          <w:p w14:paraId="7CC0A95F" w14:textId="77777777" w:rsidR="004546DC" w:rsidRPr="007E214E" w:rsidRDefault="004546DC" w:rsidP="00DA47BF">
            <w:pPr>
              <w:pStyle w:val="TableFieldHeading"/>
            </w:pPr>
            <w:r w:rsidRPr="00BD2249">
              <w:t>Version</w:t>
            </w:r>
          </w:p>
        </w:tc>
        <w:tc>
          <w:tcPr>
            <w:tcW w:w="5344" w:type="dxa"/>
          </w:tcPr>
          <w:p w14:paraId="062EAF5B"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4809E3B1" w14:textId="77777777" w:rsidR="004546DC" w:rsidRPr="007E214E" w:rsidRDefault="004546DC" w:rsidP="00DA47BF">
            <w:pPr>
              <w:pStyle w:val="TableFieldHeading"/>
            </w:pPr>
            <w:r>
              <w:t xml:space="preserve">Approval </w:t>
            </w:r>
            <w:r w:rsidR="00717072">
              <w:t>date</w:t>
            </w:r>
          </w:p>
        </w:tc>
      </w:tr>
      <w:tr w:rsidR="004546DC" w:rsidRPr="00A324B2" w14:paraId="4AFF6222" w14:textId="77777777" w:rsidTr="00CC2609">
        <w:trPr>
          <w:trHeight w:val="397"/>
        </w:trPr>
        <w:tc>
          <w:tcPr>
            <w:tcW w:w="1696" w:type="dxa"/>
          </w:tcPr>
          <w:p w14:paraId="07C9CAF9" w14:textId="77777777" w:rsidR="004546DC" w:rsidRPr="007E214E" w:rsidRDefault="004546DC" w:rsidP="00DA47BF">
            <w:pPr>
              <w:pStyle w:val="TableFieldContent"/>
            </w:pPr>
            <w:r>
              <w:t>1.00</w:t>
            </w:r>
          </w:p>
        </w:tc>
        <w:tc>
          <w:tcPr>
            <w:tcW w:w="5344" w:type="dxa"/>
          </w:tcPr>
          <w:p w14:paraId="637C6375" w14:textId="77777777" w:rsidR="004546DC" w:rsidRPr="00C75D25" w:rsidRDefault="004546DC" w:rsidP="00DA47BF">
            <w:pPr>
              <w:pStyle w:val="TableFieldContent"/>
            </w:pPr>
            <w:r>
              <w:t>Initial Approved Version</w:t>
            </w:r>
          </w:p>
        </w:tc>
        <w:tc>
          <w:tcPr>
            <w:tcW w:w="1998" w:type="dxa"/>
          </w:tcPr>
          <w:p w14:paraId="360077C4" w14:textId="617E77FD" w:rsidR="004546DC" w:rsidRDefault="004F2BF0" w:rsidP="00DA47BF">
            <w:pPr>
              <w:pStyle w:val="TableFieldContent"/>
            </w:pPr>
            <w:r>
              <w:t>14/03/2013</w:t>
            </w:r>
          </w:p>
        </w:tc>
      </w:tr>
      <w:tr w:rsidR="004546DC" w:rsidRPr="00A324B2" w14:paraId="0149677E" w14:textId="77777777" w:rsidTr="00CC2609">
        <w:trPr>
          <w:trHeight w:val="397"/>
        </w:trPr>
        <w:tc>
          <w:tcPr>
            <w:tcW w:w="1696" w:type="dxa"/>
          </w:tcPr>
          <w:p w14:paraId="42649A94" w14:textId="6380C2EF" w:rsidR="004546DC" w:rsidRDefault="004F2BF0" w:rsidP="00DA47BF">
            <w:pPr>
              <w:pStyle w:val="TableFieldContent"/>
            </w:pPr>
            <w:r>
              <w:t>2.00</w:t>
            </w:r>
          </w:p>
        </w:tc>
        <w:tc>
          <w:tcPr>
            <w:tcW w:w="5344" w:type="dxa"/>
          </w:tcPr>
          <w:p w14:paraId="288AECA5" w14:textId="0EF24A58" w:rsidR="004546DC" w:rsidRDefault="004F2BF0" w:rsidP="00132405">
            <w:pPr>
              <w:pStyle w:val="TableFieldContent"/>
            </w:pPr>
            <w:r>
              <w:rPr>
                <w:rFonts w:eastAsia="Arial"/>
              </w:rPr>
              <w:t>No ch</w:t>
            </w:r>
            <w:r>
              <w:rPr>
                <w:rFonts w:eastAsia="Arial"/>
                <w:spacing w:val="-2"/>
              </w:rPr>
              <w:t>a</w:t>
            </w:r>
            <w:r>
              <w:rPr>
                <w:rFonts w:eastAsia="Arial"/>
              </w:rPr>
              <w:t>n</w:t>
            </w:r>
            <w:r>
              <w:rPr>
                <w:rFonts w:eastAsia="Arial"/>
                <w:spacing w:val="-2"/>
              </w:rPr>
              <w:t>g</w:t>
            </w:r>
            <w:r>
              <w:rPr>
                <w:rFonts w:eastAsia="Arial"/>
              </w:rPr>
              <w:t xml:space="preserve">e to </w:t>
            </w:r>
            <w:r>
              <w:rPr>
                <w:rFonts w:eastAsia="Arial"/>
                <w:spacing w:val="-2"/>
              </w:rPr>
              <w:t>c</w:t>
            </w:r>
            <w:r>
              <w:rPr>
                <w:rFonts w:eastAsia="Arial"/>
              </w:rPr>
              <w:t>on</w:t>
            </w:r>
            <w:r>
              <w:rPr>
                <w:rFonts w:eastAsia="Arial"/>
                <w:spacing w:val="-2"/>
              </w:rPr>
              <w:t>t</w:t>
            </w:r>
            <w:r>
              <w:rPr>
                <w:rFonts w:eastAsia="Arial"/>
              </w:rPr>
              <w:t>ent,</w:t>
            </w:r>
            <w:r>
              <w:rPr>
                <w:rFonts w:eastAsia="Arial"/>
                <w:spacing w:val="-4"/>
              </w:rPr>
              <w:t xml:space="preserve"> </w:t>
            </w:r>
            <w:r>
              <w:rPr>
                <w:rFonts w:eastAsia="Arial"/>
              </w:rPr>
              <w:t>up</w:t>
            </w:r>
            <w:r>
              <w:rPr>
                <w:rFonts w:eastAsia="Arial"/>
                <w:spacing w:val="-2"/>
              </w:rPr>
              <w:t>d</w:t>
            </w:r>
            <w:r>
              <w:rPr>
                <w:rFonts w:eastAsia="Arial"/>
              </w:rPr>
              <w:t>at</w:t>
            </w:r>
            <w:r>
              <w:rPr>
                <w:rFonts w:eastAsia="Arial"/>
                <w:spacing w:val="1"/>
              </w:rPr>
              <w:t>e</w:t>
            </w:r>
            <w:r>
              <w:rPr>
                <w:rFonts w:eastAsia="Arial"/>
              </w:rPr>
              <w:t>d</w:t>
            </w:r>
            <w:r>
              <w:rPr>
                <w:rFonts w:eastAsia="Arial"/>
                <w:spacing w:val="-2"/>
              </w:rPr>
              <w:t xml:space="preserve"> </w:t>
            </w:r>
            <w:r>
              <w:rPr>
                <w:rFonts w:eastAsia="Arial"/>
              </w:rPr>
              <w:t>to</w:t>
            </w:r>
            <w:r>
              <w:rPr>
                <w:rFonts w:eastAsia="Arial"/>
                <w:spacing w:val="-2"/>
              </w:rPr>
              <w:t xml:space="preserve"> </w:t>
            </w:r>
            <w:r>
              <w:rPr>
                <w:rFonts w:eastAsia="Arial"/>
                <w:spacing w:val="1"/>
              </w:rPr>
              <w:t>n</w:t>
            </w:r>
            <w:r>
              <w:rPr>
                <w:rFonts w:eastAsia="Arial"/>
              </w:rPr>
              <w:t>ew</w:t>
            </w:r>
            <w:r>
              <w:rPr>
                <w:rFonts w:eastAsia="Arial"/>
                <w:spacing w:val="-3"/>
              </w:rPr>
              <w:t xml:space="preserve"> </w:t>
            </w:r>
            <w:r>
              <w:rPr>
                <w:rFonts w:eastAsia="Arial"/>
              </w:rPr>
              <w:t>t</w:t>
            </w:r>
            <w:r>
              <w:rPr>
                <w:rFonts w:eastAsia="Arial"/>
                <w:spacing w:val="-2"/>
              </w:rPr>
              <w:t>e</w:t>
            </w:r>
            <w:r>
              <w:rPr>
                <w:rFonts w:eastAsia="Arial"/>
                <w:spacing w:val="1"/>
              </w:rPr>
              <w:t>m</w:t>
            </w:r>
            <w:r>
              <w:rPr>
                <w:rFonts w:eastAsia="Arial"/>
              </w:rPr>
              <w:t>pl</w:t>
            </w:r>
            <w:r>
              <w:rPr>
                <w:rFonts w:eastAsia="Arial"/>
                <w:spacing w:val="-2"/>
              </w:rPr>
              <w:t>a</w:t>
            </w:r>
            <w:r>
              <w:rPr>
                <w:rFonts w:eastAsia="Arial"/>
              </w:rPr>
              <w:t>t</w:t>
            </w:r>
            <w:r>
              <w:rPr>
                <w:rFonts w:eastAsia="Arial"/>
                <w:spacing w:val="1"/>
              </w:rPr>
              <w:t>e</w:t>
            </w:r>
            <w:r>
              <w:rPr>
                <w:rFonts w:eastAsia="Arial"/>
              </w:rPr>
              <w:t>.</w:t>
            </w:r>
          </w:p>
        </w:tc>
        <w:tc>
          <w:tcPr>
            <w:tcW w:w="1998" w:type="dxa"/>
          </w:tcPr>
          <w:p w14:paraId="74A5375A" w14:textId="0F3638FB" w:rsidR="004546DC" w:rsidRDefault="004F2BF0" w:rsidP="00DA47BF">
            <w:pPr>
              <w:pStyle w:val="TableFieldContent"/>
            </w:pPr>
            <w:r>
              <w:t>04/11/2016</w:t>
            </w:r>
          </w:p>
        </w:tc>
      </w:tr>
      <w:tr w:rsidR="00BB0914" w:rsidRPr="00A324B2" w14:paraId="126F29C0" w14:textId="77777777" w:rsidTr="00CC2609">
        <w:trPr>
          <w:trHeight w:val="397"/>
        </w:trPr>
        <w:tc>
          <w:tcPr>
            <w:tcW w:w="1696" w:type="dxa"/>
          </w:tcPr>
          <w:p w14:paraId="7814008C" w14:textId="4BB2B6DE" w:rsidR="00BB0914" w:rsidRDefault="004C3577" w:rsidP="00BB0914">
            <w:pPr>
              <w:pStyle w:val="TableFieldContent"/>
            </w:pPr>
            <w:r>
              <w:t>3.00</w:t>
            </w:r>
          </w:p>
        </w:tc>
        <w:tc>
          <w:tcPr>
            <w:tcW w:w="5344" w:type="dxa"/>
          </w:tcPr>
          <w:p w14:paraId="3265E868" w14:textId="502894D1" w:rsidR="00BB0914" w:rsidRDefault="004C3577" w:rsidP="00DA47BF">
            <w:pPr>
              <w:pStyle w:val="TableFieldContent"/>
            </w:pPr>
            <w:r>
              <w:rPr>
                <w:rFonts w:eastAsia="Arial"/>
              </w:rPr>
              <w:t>C</w:t>
            </w:r>
            <w:r>
              <w:rPr>
                <w:rFonts w:eastAsia="Arial"/>
                <w:spacing w:val="-3"/>
              </w:rPr>
              <w:t>y</w:t>
            </w:r>
            <w:r>
              <w:rPr>
                <w:rFonts w:eastAsia="Arial"/>
              </w:rPr>
              <w:t>c</w:t>
            </w:r>
            <w:r>
              <w:rPr>
                <w:rFonts w:eastAsia="Arial"/>
                <w:spacing w:val="1"/>
              </w:rPr>
              <w:t>l</w:t>
            </w:r>
            <w:r>
              <w:rPr>
                <w:rFonts w:eastAsia="Arial"/>
              </w:rPr>
              <w:t>ical re</w:t>
            </w:r>
            <w:r>
              <w:rPr>
                <w:rFonts w:eastAsia="Arial"/>
                <w:spacing w:val="-2"/>
              </w:rPr>
              <w:t>v</w:t>
            </w:r>
            <w:r>
              <w:rPr>
                <w:rFonts w:eastAsia="Arial"/>
              </w:rPr>
              <w:t>i</w:t>
            </w:r>
            <w:r>
              <w:rPr>
                <w:rFonts w:eastAsia="Arial"/>
                <w:spacing w:val="2"/>
              </w:rPr>
              <w:t>e</w:t>
            </w:r>
            <w:r>
              <w:rPr>
                <w:rFonts w:eastAsia="Arial"/>
                <w:spacing w:val="-3"/>
              </w:rPr>
              <w:t>w</w:t>
            </w:r>
            <w:r>
              <w:rPr>
                <w:rFonts w:eastAsia="Arial"/>
              </w:rPr>
              <w:t>.</w:t>
            </w:r>
            <w:r>
              <w:rPr>
                <w:rFonts w:eastAsia="Arial"/>
                <w:spacing w:val="66"/>
              </w:rPr>
              <w:t xml:space="preserve"> </w:t>
            </w:r>
            <w:r>
              <w:rPr>
                <w:rFonts w:eastAsia="Arial"/>
              </w:rPr>
              <w:t>SOP</w:t>
            </w:r>
            <w:r>
              <w:rPr>
                <w:rFonts w:eastAsia="Arial"/>
                <w:spacing w:val="-1"/>
              </w:rPr>
              <w:t xml:space="preserve"> </w:t>
            </w:r>
            <w:r>
              <w:rPr>
                <w:rFonts w:eastAsia="Arial"/>
              </w:rPr>
              <w:t>f</w:t>
            </w:r>
            <w:r>
              <w:rPr>
                <w:rFonts w:eastAsia="Arial"/>
                <w:spacing w:val="1"/>
              </w:rPr>
              <w:t>u</w:t>
            </w:r>
            <w:r>
              <w:rPr>
                <w:rFonts w:eastAsia="Arial"/>
              </w:rPr>
              <w:t>l</w:t>
            </w:r>
            <w:r>
              <w:rPr>
                <w:rFonts w:eastAsia="Arial"/>
                <w:spacing w:val="-1"/>
              </w:rPr>
              <w:t>l</w:t>
            </w:r>
            <w:r>
              <w:rPr>
                <w:rFonts w:eastAsia="Arial"/>
              </w:rPr>
              <w:t>y</w:t>
            </w:r>
            <w:r>
              <w:rPr>
                <w:rFonts w:eastAsia="Arial"/>
                <w:spacing w:val="-3"/>
              </w:rPr>
              <w:t xml:space="preserve"> </w:t>
            </w:r>
            <w:r>
              <w:rPr>
                <w:rFonts w:eastAsia="Arial"/>
              </w:rPr>
              <w:t>r</w:t>
            </w:r>
            <w:r>
              <w:rPr>
                <w:rFonts w:eastAsia="Arial"/>
                <w:spacing w:val="2"/>
              </w:rPr>
              <w:t>e</w:t>
            </w:r>
            <w:r>
              <w:rPr>
                <w:rFonts w:eastAsia="Arial"/>
                <w:spacing w:val="-3"/>
              </w:rPr>
              <w:t>w</w:t>
            </w:r>
            <w:r>
              <w:rPr>
                <w:rFonts w:eastAsia="Arial"/>
                <w:spacing w:val="1"/>
              </w:rPr>
              <w:t>r</w:t>
            </w:r>
            <w:r>
              <w:rPr>
                <w:rFonts w:eastAsia="Arial"/>
              </w:rPr>
              <w:t>itt</w:t>
            </w:r>
            <w:r>
              <w:rPr>
                <w:rFonts w:eastAsia="Arial"/>
                <w:spacing w:val="1"/>
              </w:rPr>
              <w:t>e</w:t>
            </w:r>
            <w:r>
              <w:rPr>
                <w:rFonts w:eastAsia="Arial"/>
              </w:rPr>
              <w:t>n.</w:t>
            </w:r>
          </w:p>
        </w:tc>
        <w:tc>
          <w:tcPr>
            <w:tcW w:w="1998" w:type="dxa"/>
          </w:tcPr>
          <w:p w14:paraId="0A91B23B" w14:textId="3B6A2338" w:rsidR="00BB0914" w:rsidRDefault="004C3577" w:rsidP="00DA47BF">
            <w:pPr>
              <w:pStyle w:val="TableFieldContent"/>
            </w:pPr>
            <w:r>
              <w:t>06/11/2017</w:t>
            </w:r>
          </w:p>
        </w:tc>
      </w:tr>
      <w:tr w:rsidR="004F2BF0" w:rsidRPr="00A324B2" w14:paraId="7865F768" w14:textId="77777777" w:rsidTr="00CC2609">
        <w:trPr>
          <w:trHeight w:val="397"/>
        </w:trPr>
        <w:tc>
          <w:tcPr>
            <w:tcW w:w="1696" w:type="dxa"/>
          </w:tcPr>
          <w:p w14:paraId="71CAF89C" w14:textId="1C78A75D" w:rsidR="004F2BF0" w:rsidRDefault="004C3577" w:rsidP="00BB0914">
            <w:pPr>
              <w:pStyle w:val="TableFieldContent"/>
            </w:pPr>
            <w:r>
              <w:t>4.00</w:t>
            </w:r>
          </w:p>
        </w:tc>
        <w:tc>
          <w:tcPr>
            <w:tcW w:w="5344" w:type="dxa"/>
          </w:tcPr>
          <w:p w14:paraId="12B07581" w14:textId="1901AF10" w:rsidR="004F2BF0" w:rsidRDefault="004C3577" w:rsidP="00DA47BF">
            <w:pPr>
              <w:pStyle w:val="TableFieldContent"/>
            </w:pPr>
            <w:r>
              <w:rPr>
                <w:rFonts w:eastAsia="Arial" w:cs="Arial"/>
              </w:rPr>
              <w:t>SOP</w:t>
            </w:r>
            <w:r>
              <w:rPr>
                <w:rFonts w:eastAsia="Arial" w:cs="Arial"/>
                <w:spacing w:val="1"/>
              </w:rPr>
              <w:t xml:space="preserve"> </w:t>
            </w:r>
            <w:r>
              <w:rPr>
                <w:rFonts w:eastAsia="Arial" w:cs="Arial"/>
              </w:rPr>
              <w:t>re</w:t>
            </w:r>
            <w:r>
              <w:rPr>
                <w:rFonts w:eastAsia="Arial" w:cs="Arial"/>
                <w:spacing w:val="-3"/>
              </w:rPr>
              <w:t>w</w:t>
            </w:r>
            <w:r>
              <w:rPr>
                <w:rFonts w:eastAsia="Arial" w:cs="Arial"/>
              </w:rPr>
              <w:t>r</w:t>
            </w:r>
            <w:r>
              <w:rPr>
                <w:rFonts w:eastAsia="Arial" w:cs="Arial"/>
                <w:spacing w:val="-2"/>
              </w:rPr>
              <w:t>i</w:t>
            </w:r>
            <w:r>
              <w:rPr>
                <w:rFonts w:eastAsia="Arial" w:cs="Arial"/>
              </w:rPr>
              <w:t>tten</w:t>
            </w:r>
            <w:r>
              <w:rPr>
                <w:rFonts w:eastAsia="Arial" w:cs="Arial"/>
                <w:spacing w:val="2"/>
              </w:rPr>
              <w:t xml:space="preserve"> </w:t>
            </w:r>
            <w:r>
              <w:rPr>
                <w:rFonts w:eastAsia="Arial" w:cs="Arial"/>
              </w:rPr>
              <w:t>to</w:t>
            </w:r>
            <w:r>
              <w:rPr>
                <w:rFonts w:eastAsia="Arial" w:cs="Arial"/>
                <w:spacing w:val="-1"/>
              </w:rPr>
              <w:t xml:space="preserve"> </w:t>
            </w:r>
            <w:r>
              <w:rPr>
                <w:rFonts w:eastAsia="Arial" w:cs="Arial"/>
              </w:rPr>
              <w:t>inco</w:t>
            </w:r>
            <w:r>
              <w:rPr>
                <w:rFonts w:eastAsia="Arial" w:cs="Arial"/>
                <w:spacing w:val="-4"/>
              </w:rPr>
              <w:t>r</w:t>
            </w:r>
            <w:r>
              <w:rPr>
                <w:rFonts w:eastAsia="Arial" w:cs="Arial"/>
              </w:rPr>
              <w:t>porate t</w:t>
            </w:r>
            <w:r>
              <w:rPr>
                <w:rFonts w:eastAsia="Arial" w:cs="Arial"/>
                <w:spacing w:val="-1"/>
              </w:rPr>
              <w:t>h</w:t>
            </w:r>
            <w:r>
              <w:rPr>
                <w:rFonts w:eastAsia="Arial" w:cs="Arial"/>
              </w:rPr>
              <w:t>e</w:t>
            </w:r>
            <w:r>
              <w:rPr>
                <w:rFonts w:eastAsia="Arial" w:cs="Arial"/>
                <w:spacing w:val="1"/>
              </w:rPr>
              <w:t xml:space="preserve"> </w:t>
            </w:r>
            <w:r>
              <w:rPr>
                <w:rFonts w:eastAsia="Arial" w:cs="Arial"/>
              </w:rPr>
              <w:t>Da</w:t>
            </w:r>
            <w:r>
              <w:rPr>
                <w:rFonts w:eastAsia="Arial" w:cs="Arial"/>
                <w:spacing w:val="-2"/>
              </w:rPr>
              <w:t>t</w:t>
            </w:r>
            <w:r>
              <w:rPr>
                <w:rFonts w:eastAsia="Arial" w:cs="Arial"/>
              </w:rPr>
              <w:t>a Pro</w:t>
            </w:r>
            <w:r>
              <w:rPr>
                <w:rFonts w:eastAsia="Arial" w:cs="Arial"/>
                <w:spacing w:val="-2"/>
              </w:rPr>
              <w:t>t</w:t>
            </w:r>
            <w:r>
              <w:rPr>
                <w:rFonts w:eastAsia="Arial" w:cs="Arial"/>
              </w:rPr>
              <w:t>e</w:t>
            </w:r>
            <w:r>
              <w:rPr>
                <w:rFonts w:eastAsia="Arial" w:cs="Arial"/>
                <w:spacing w:val="-3"/>
              </w:rPr>
              <w:t>c</w:t>
            </w:r>
            <w:r>
              <w:rPr>
                <w:rFonts w:eastAsia="Arial" w:cs="Arial"/>
              </w:rPr>
              <w:t>tion Act 20</w:t>
            </w:r>
            <w:r>
              <w:rPr>
                <w:rFonts w:eastAsia="Arial" w:cs="Arial"/>
                <w:spacing w:val="-2"/>
              </w:rPr>
              <w:t>1</w:t>
            </w:r>
            <w:r>
              <w:rPr>
                <w:rFonts w:eastAsia="Arial" w:cs="Arial"/>
              </w:rPr>
              <w:t xml:space="preserve">8 </w:t>
            </w:r>
            <w:r>
              <w:rPr>
                <w:rFonts w:eastAsia="Arial" w:cs="Arial"/>
                <w:spacing w:val="1"/>
              </w:rPr>
              <w:t>a</w:t>
            </w:r>
            <w:r>
              <w:rPr>
                <w:rFonts w:eastAsia="Arial" w:cs="Arial"/>
                <w:spacing w:val="-2"/>
              </w:rPr>
              <w:t>n</w:t>
            </w:r>
            <w:r>
              <w:rPr>
                <w:rFonts w:eastAsia="Arial" w:cs="Arial"/>
              </w:rPr>
              <w:t xml:space="preserve">d </w:t>
            </w:r>
            <w:r>
              <w:rPr>
                <w:rFonts w:eastAsia="Arial" w:cs="Arial"/>
                <w:spacing w:val="-2"/>
              </w:rPr>
              <w:t>t</w:t>
            </w:r>
            <w:r>
              <w:rPr>
                <w:rFonts w:eastAsia="Arial" w:cs="Arial"/>
              </w:rPr>
              <w:t>he</w:t>
            </w:r>
            <w:r>
              <w:rPr>
                <w:rFonts w:eastAsia="Arial" w:cs="Arial"/>
                <w:spacing w:val="3"/>
              </w:rPr>
              <w:t xml:space="preserve"> </w:t>
            </w:r>
            <w:r>
              <w:rPr>
                <w:rFonts w:eastAsia="Arial" w:cs="Arial"/>
                <w:spacing w:val="-2"/>
              </w:rPr>
              <w:t>G</w:t>
            </w:r>
            <w:r>
              <w:rPr>
                <w:rFonts w:eastAsia="Arial" w:cs="Arial"/>
              </w:rPr>
              <w:t>e</w:t>
            </w:r>
            <w:r>
              <w:rPr>
                <w:rFonts w:eastAsia="Arial" w:cs="Arial"/>
                <w:spacing w:val="-2"/>
              </w:rPr>
              <w:t>n</w:t>
            </w:r>
            <w:r>
              <w:rPr>
                <w:rFonts w:eastAsia="Arial" w:cs="Arial"/>
              </w:rPr>
              <w:t>eral</w:t>
            </w:r>
            <w:r>
              <w:rPr>
                <w:rFonts w:eastAsia="Arial" w:cs="Arial"/>
                <w:spacing w:val="-2"/>
              </w:rPr>
              <w:t xml:space="preserve"> </w:t>
            </w:r>
            <w:r>
              <w:rPr>
                <w:rFonts w:eastAsia="Arial" w:cs="Arial"/>
                <w:spacing w:val="-1"/>
              </w:rPr>
              <w:t>D</w:t>
            </w:r>
            <w:r>
              <w:rPr>
                <w:rFonts w:eastAsia="Arial" w:cs="Arial"/>
              </w:rPr>
              <w:t>ata</w:t>
            </w:r>
            <w:r>
              <w:rPr>
                <w:rFonts w:eastAsia="Arial" w:cs="Arial"/>
                <w:spacing w:val="2"/>
              </w:rPr>
              <w:t xml:space="preserve"> </w:t>
            </w:r>
            <w:r>
              <w:rPr>
                <w:rFonts w:eastAsia="Arial" w:cs="Arial"/>
              </w:rPr>
              <w:t>Pr</w:t>
            </w:r>
            <w:r>
              <w:rPr>
                <w:rFonts w:eastAsia="Arial" w:cs="Arial"/>
                <w:spacing w:val="-3"/>
              </w:rPr>
              <w:t>o</w:t>
            </w:r>
            <w:r>
              <w:rPr>
                <w:rFonts w:eastAsia="Arial" w:cs="Arial"/>
              </w:rPr>
              <w:t>t</w:t>
            </w:r>
            <w:r>
              <w:rPr>
                <w:rFonts w:eastAsia="Arial" w:cs="Arial"/>
                <w:spacing w:val="1"/>
              </w:rPr>
              <w:t>e</w:t>
            </w:r>
            <w:r>
              <w:rPr>
                <w:rFonts w:eastAsia="Arial" w:cs="Arial"/>
              </w:rPr>
              <w:t>cti</w:t>
            </w:r>
            <w:r>
              <w:rPr>
                <w:rFonts w:eastAsia="Arial" w:cs="Arial"/>
                <w:spacing w:val="-2"/>
              </w:rPr>
              <w:t>o</w:t>
            </w:r>
            <w:r>
              <w:rPr>
                <w:rFonts w:eastAsia="Arial" w:cs="Arial"/>
              </w:rPr>
              <w:t>n Re</w:t>
            </w:r>
            <w:r>
              <w:rPr>
                <w:rFonts w:eastAsia="Arial" w:cs="Arial"/>
                <w:spacing w:val="-2"/>
              </w:rPr>
              <w:t>g</w:t>
            </w:r>
            <w:r>
              <w:rPr>
                <w:rFonts w:eastAsia="Arial" w:cs="Arial"/>
              </w:rPr>
              <w:t>u</w:t>
            </w:r>
            <w:r>
              <w:rPr>
                <w:rFonts w:eastAsia="Arial" w:cs="Arial"/>
                <w:spacing w:val="-3"/>
              </w:rPr>
              <w:t>l</w:t>
            </w:r>
            <w:r>
              <w:rPr>
                <w:rFonts w:eastAsia="Arial" w:cs="Arial"/>
              </w:rPr>
              <w:t>ation.</w:t>
            </w:r>
          </w:p>
        </w:tc>
        <w:tc>
          <w:tcPr>
            <w:tcW w:w="1998" w:type="dxa"/>
          </w:tcPr>
          <w:p w14:paraId="1698A105" w14:textId="3F4C3F7A" w:rsidR="004F2BF0" w:rsidRDefault="004C3577" w:rsidP="00DA47BF">
            <w:pPr>
              <w:pStyle w:val="TableFieldContent"/>
            </w:pPr>
            <w:r>
              <w:t>23/05/2018</w:t>
            </w:r>
          </w:p>
        </w:tc>
      </w:tr>
      <w:tr w:rsidR="004F2BF0" w:rsidRPr="00A324B2" w14:paraId="01CC4E88" w14:textId="77777777" w:rsidTr="00CC2609">
        <w:trPr>
          <w:trHeight w:val="397"/>
        </w:trPr>
        <w:tc>
          <w:tcPr>
            <w:tcW w:w="1696" w:type="dxa"/>
          </w:tcPr>
          <w:p w14:paraId="0A14DEBF" w14:textId="353841CA" w:rsidR="004F2BF0" w:rsidRDefault="004C3577" w:rsidP="00BB0914">
            <w:pPr>
              <w:pStyle w:val="TableFieldContent"/>
            </w:pPr>
            <w:r>
              <w:t>5.00</w:t>
            </w:r>
          </w:p>
        </w:tc>
        <w:tc>
          <w:tcPr>
            <w:tcW w:w="5344" w:type="dxa"/>
          </w:tcPr>
          <w:p w14:paraId="5DB20CA4" w14:textId="6A674BE7" w:rsidR="004F2BF0" w:rsidRDefault="004C3577" w:rsidP="00DA47BF">
            <w:pPr>
              <w:pStyle w:val="TableFieldContent"/>
            </w:pPr>
            <w:r>
              <w:rPr>
                <w:rFonts w:eastAsia="Arial" w:cs="Arial"/>
              </w:rPr>
              <w:t>A</w:t>
            </w:r>
            <w:r>
              <w:rPr>
                <w:rFonts w:eastAsia="Arial" w:cs="Arial"/>
                <w:spacing w:val="1"/>
              </w:rPr>
              <w:t>m</w:t>
            </w:r>
            <w:r>
              <w:rPr>
                <w:rFonts w:eastAsia="Arial" w:cs="Arial"/>
                <w:spacing w:val="-2"/>
              </w:rPr>
              <w:t>e</w:t>
            </w:r>
            <w:r>
              <w:rPr>
                <w:rFonts w:eastAsia="Arial" w:cs="Arial"/>
              </w:rPr>
              <w:t>n</w:t>
            </w:r>
            <w:r>
              <w:rPr>
                <w:rFonts w:eastAsia="Arial" w:cs="Arial"/>
                <w:spacing w:val="-2"/>
              </w:rPr>
              <w:t>d</w:t>
            </w:r>
            <w:r>
              <w:rPr>
                <w:rFonts w:eastAsia="Arial" w:cs="Arial"/>
                <w:spacing w:val="1"/>
              </w:rPr>
              <w:t>m</w:t>
            </w:r>
            <w:r>
              <w:rPr>
                <w:rFonts w:eastAsia="Arial" w:cs="Arial"/>
                <w:spacing w:val="-2"/>
              </w:rPr>
              <w:t>e</w:t>
            </w:r>
            <w:r>
              <w:rPr>
                <w:rFonts w:eastAsia="Arial" w:cs="Arial"/>
              </w:rPr>
              <w:t xml:space="preserve">nt </w:t>
            </w:r>
            <w:r>
              <w:rPr>
                <w:rFonts w:eastAsia="Arial" w:cs="Arial"/>
                <w:spacing w:val="-2"/>
              </w:rPr>
              <w:t>t</w:t>
            </w:r>
            <w:r>
              <w:rPr>
                <w:rFonts w:eastAsia="Arial" w:cs="Arial"/>
              </w:rPr>
              <w:t>o s</w:t>
            </w:r>
            <w:r>
              <w:rPr>
                <w:rFonts w:eastAsia="Arial" w:cs="Arial"/>
                <w:spacing w:val="1"/>
              </w:rPr>
              <w:t>e</w:t>
            </w:r>
            <w:r>
              <w:rPr>
                <w:rFonts w:eastAsia="Arial" w:cs="Arial"/>
              </w:rPr>
              <w:t>ct</w:t>
            </w:r>
            <w:r>
              <w:rPr>
                <w:rFonts w:eastAsia="Arial" w:cs="Arial"/>
                <w:spacing w:val="-3"/>
              </w:rPr>
              <w:t>i</w:t>
            </w:r>
            <w:r>
              <w:rPr>
                <w:rFonts w:eastAsia="Arial" w:cs="Arial"/>
              </w:rPr>
              <w:t>on</w:t>
            </w:r>
            <w:r>
              <w:rPr>
                <w:rFonts w:eastAsia="Arial" w:cs="Arial"/>
                <w:spacing w:val="-2"/>
              </w:rPr>
              <w:t xml:space="preserve"> </w:t>
            </w:r>
            <w:r>
              <w:rPr>
                <w:rFonts w:eastAsia="Arial" w:cs="Arial"/>
              </w:rPr>
              <w:t>19</w:t>
            </w:r>
            <w:r>
              <w:rPr>
                <w:rFonts w:eastAsia="Arial" w:cs="Arial"/>
                <w:spacing w:val="4"/>
              </w:rPr>
              <w:t xml:space="preserve"> </w:t>
            </w:r>
            <w:r>
              <w:rPr>
                <w:rFonts w:eastAsia="Arial" w:cs="Arial"/>
              </w:rPr>
              <w:t>-</w:t>
            </w:r>
            <w:r>
              <w:rPr>
                <w:rFonts w:eastAsia="Arial" w:cs="Arial"/>
                <w:spacing w:val="-1"/>
              </w:rPr>
              <w:t xml:space="preserve"> </w:t>
            </w:r>
            <w:r>
              <w:rPr>
                <w:rFonts w:eastAsia="Arial" w:cs="Arial"/>
              </w:rPr>
              <w:t>c</w:t>
            </w:r>
            <w:r>
              <w:rPr>
                <w:rFonts w:eastAsia="Arial" w:cs="Arial"/>
                <w:spacing w:val="-2"/>
              </w:rPr>
              <w:t>h</w:t>
            </w:r>
            <w:r>
              <w:rPr>
                <w:rFonts w:eastAsia="Arial" w:cs="Arial"/>
              </w:rPr>
              <w:t>an</w:t>
            </w:r>
            <w:r>
              <w:rPr>
                <w:rFonts w:eastAsia="Arial" w:cs="Arial"/>
                <w:spacing w:val="-2"/>
              </w:rPr>
              <w:t>g</w:t>
            </w:r>
            <w:r>
              <w:rPr>
                <w:rFonts w:eastAsia="Arial" w:cs="Arial"/>
              </w:rPr>
              <w:t xml:space="preserve">es </w:t>
            </w:r>
            <w:r>
              <w:rPr>
                <w:rFonts w:eastAsia="Arial" w:cs="Arial"/>
                <w:spacing w:val="-2"/>
              </w:rPr>
              <w:t>t</w:t>
            </w:r>
            <w:r>
              <w:rPr>
                <w:rFonts w:eastAsia="Arial" w:cs="Arial"/>
              </w:rPr>
              <w:t>o s</w:t>
            </w:r>
            <w:r>
              <w:rPr>
                <w:rFonts w:eastAsia="Arial" w:cs="Arial"/>
                <w:spacing w:val="1"/>
              </w:rPr>
              <w:t>e</w:t>
            </w:r>
            <w:r>
              <w:rPr>
                <w:rFonts w:eastAsia="Arial" w:cs="Arial"/>
              </w:rPr>
              <w:t>ct</w:t>
            </w:r>
            <w:r>
              <w:rPr>
                <w:rFonts w:eastAsia="Arial" w:cs="Arial"/>
                <w:spacing w:val="-3"/>
              </w:rPr>
              <w:t>i</w:t>
            </w:r>
            <w:r>
              <w:rPr>
                <w:rFonts w:eastAsia="Arial" w:cs="Arial"/>
                <w:spacing w:val="-2"/>
              </w:rPr>
              <w:t>o</w:t>
            </w:r>
            <w:r>
              <w:rPr>
                <w:rFonts w:eastAsia="Arial" w:cs="Arial"/>
              </w:rPr>
              <w:t>ns ref</w:t>
            </w:r>
            <w:r>
              <w:rPr>
                <w:rFonts w:eastAsia="Arial" w:cs="Arial"/>
                <w:spacing w:val="1"/>
              </w:rPr>
              <w:t>e</w:t>
            </w:r>
            <w:r>
              <w:rPr>
                <w:rFonts w:eastAsia="Arial" w:cs="Arial"/>
              </w:rPr>
              <w:t>r</w:t>
            </w:r>
            <w:r>
              <w:rPr>
                <w:rFonts w:eastAsia="Arial" w:cs="Arial"/>
                <w:spacing w:val="-2"/>
              </w:rPr>
              <w:t>r</w:t>
            </w:r>
            <w:r>
              <w:rPr>
                <w:rFonts w:eastAsia="Arial" w:cs="Arial"/>
              </w:rPr>
              <w:t xml:space="preserve">ed </w:t>
            </w:r>
            <w:r>
              <w:rPr>
                <w:rFonts w:eastAsia="Arial" w:cs="Arial"/>
                <w:spacing w:val="-2"/>
              </w:rPr>
              <w:t>t</w:t>
            </w:r>
            <w:r>
              <w:rPr>
                <w:rFonts w:eastAsia="Arial" w:cs="Arial"/>
              </w:rPr>
              <w:t xml:space="preserve">o </w:t>
            </w:r>
            <w:r>
              <w:rPr>
                <w:rFonts w:eastAsia="Arial" w:cs="Arial"/>
                <w:spacing w:val="-1"/>
              </w:rPr>
              <w:t>u</w:t>
            </w:r>
            <w:r>
              <w:rPr>
                <w:rFonts w:eastAsia="Arial" w:cs="Arial"/>
              </w:rPr>
              <w:t>nder</w:t>
            </w:r>
            <w:r>
              <w:rPr>
                <w:rFonts w:eastAsia="Arial" w:cs="Arial"/>
                <w:spacing w:val="2"/>
              </w:rPr>
              <w:t xml:space="preserve"> </w:t>
            </w:r>
            <w:r>
              <w:rPr>
                <w:rFonts w:eastAsia="Arial" w:cs="Arial"/>
                <w:spacing w:val="-2"/>
              </w:rPr>
              <w:t>t</w:t>
            </w:r>
            <w:r>
              <w:rPr>
                <w:rFonts w:eastAsia="Arial" w:cs="Arial"/>
              </w:rPr>
              <w:t>he</w:t>
            </w:r>
            <w:r>
              <w:rPr>
                <w:rFonts w:eastAsia="Arial" w:cs="Arial"/>
                <w:spacing w:val="1"/>
              </w:rPr>
              <w:t xml:space="preserve"> </w:t>
            </w:r>
            <w:r>
              <w:rPr>
                <w:rFonts w:eastAsia="Arial" w:cs="Arial"/>
                <w:spacing w:val="-3"/>
              </w:rPr>
              <w:t>D</w:t>
            </w:r>
            <w:r>
              <w:rPr>
                <w:rFonts w:eastAsia="Arial" w:cs="Arial"/>
              </w:rPr>
              <w:t>ata</w:t>
            </w:r>
            <w:r>
              <w:rPr>
                <w:rFonts w:eastAsia="Arial" w:cs="Arial"/>
                <w:spacing w:val="1"/>
              </w:rPr>
              <w:t xml:space="preserve"> </w:t>
            </w:r>
            <w:r>
              <w:rPr>
                <w:rFonts w:eastAsia="Arial" w:cs="Arial"/>
              </w:rPr>
              <w:t>P</w:t>
            </w:r>
            <w:r>
              <w:rPr>
                <w:rFonts w:eastAsia="Arial" w:cs="Arial"/>
                <w:spacing w:val="-4"/>
              </w:rPr>
              <w:t>r</w:t>
            </w:r>
            <w:r>
              <w:rPr>
                <w:rFonts w:eastAsia="Arial" w:cs="Arial"/>
              </w:rPr>
              <w:t>ot</w:t>
            </w:r>
            <w:r>
              <w:rPr>
                <w:rFonts w:eastAsia="Arial" w:cs="Arial"/>
                <w:spacing w:val="1"/>
              </w:rPr>
              <w:t>e</w:t>
            </w:r>
            <w:r>
              <w:rPr>
                <w:rFonts w:eastAsia="Arial" w:cs="Arial"/>
              </w:rPr>
              <w:t>ct</w:t>
            </w:r>
            <w:r>
              <w:rPr>
                <w:rFonts w:eastAsia="Arial" w:cs="Arial"/>
                <w:spacing w:val="-3"/>
              </w:rPr>
              <w:t>i</w:t>
            </w:r>
            <w:r>
              <w:rPr>
                <w:rFonts w:eastAsia="Arial" w:cs="Arial"/>
              </w:rPr>
              <w:t>on</w:t>
            </w:r>
            <w:r>
              <w:rPr>
                <w:rFonts w:eastAsia="Arial" w:cs="Arial"/>
                <w:spacing w:val="3"/>
              </w:rPr>
              <w:t xml:space="preserve"> </w:t>
            </w:r>
            <w:r>
              <w:rPr>
                <w:rFonts w:eastAsia="Arial" w:cs="Arial"/>
              </w:rPr>
              <w:t>A</w:t>
            </w:r>
            <w:r>
              <w:rPr>
                <w:rFonts w:eastAsia="Arial" w:cs="Arial"/>
                <w:spacing w:val="-3"/>
              </w:rPr>
              <w:t>c</w:t>
            </w:r>
            <w:r>
              <w:rPr>
                <w:rFonts w:eastAsia="Arial" w:cs="Arial"/>
              </w:rPr>
              <w:t>t.</w:t>
            </w:r>
          </w:p>
        </w:tc>
        <w:tc>
          <w:tcPr>
            <w:tcW w:w="1998" w:type="dxa"/>
          </w:tcPr>
          <w:p w14:paraId="129BE5D1" w14:textId="15C4008E" w:rsidR="004F2BF0" w:rsidRDefault="004C3577" w:rsidP="00DA47BF">
            <w:pPr>
              <w:pStyle w:val="TableFieldContent"/>
            </w:pPr>
            <w:r>
              <w:t>06/11/2018</w:t>
            </w:r>
          </w:p>
        </w:tc>
      </w:tr>
      <w:tr w:rsidR="004F2BF0" w:rsidRPr="00A324B2" w14:paraId="13943487" w14:textId="77777777" w:rsidTr="00CC2609">
        <w:trPr>
          <w:trHeight w:val="397"/>
        </w:trPr>
        <w:tc>
          <w:tcPr>
            <w:tcW w:w="1696" w:type="dxa"/>
          </w:tcPr>
          <w:p w14:paraId="441186E7" w14:textId="25DAC0F1" w:rsidR="004F2BF0" w:rsidRDefault="004C3577" w:rsidP="00BB0914">
            <w:pPr>
              <w:pStyle w:val="TableFieldContent"/>
            </w:pPr>
            <w:r>
              <w:t>6.00</w:t>
            </w:r>
          </w:p>
        </w:tc>
        <w:tc>
          <w:tcPr>
            <w:tcW w:w="5344" w:type="dxa"/>
          </w:tcPr>
          <w:p w14:paraId="6F711AAA" w14:textId="05EBEFE0" w:rsidR="004F2BF0" w:rsidRDefault="004C3577" w:rsidP="00DA47BF">
            <w:pPr>
              <w:pStyle w:val="TableFieldContent"/>
            </w:pPr>
            <w:r>
              <w:rPr>
                <w:rFonts w:eastAsia="Arial"/>
              </w:rPr>
              <w:t>G</w:t>
            </w:r>
            <w:r>
              <w:rPr>
                <w:rFonts w:eastAsia="Arial"/>
                <w:spacing w:val="1"/>
              </w:rPr>
              <w:t>e</w:t>
            </w:r>
            <w:r>
              <w:rPr>
                <w:rFonts w:eastAsia="Arial"/>
              </w:rPr>
              <w:t xml:space="preserve">neral </w:t>
            </w:r>
            <w:r>
              <w:rPr>
                <w:rFonts w:eastAsia="Arial"/>
                <w:spacing w:val="-3"/>
              </w:rPr>
              <w:t>D</w:t>
            </w:r>
            <w:r>
              <w:rPr>
                <w:rFonts w:eastAsia="Arial"/>
              </w:rPr>
              <w:t>ata</w:t>
            </w:r>
            <w:r>
              <w:rPr>
                <w:rFonts w:eastAsia="Arial"/>
                <w:spacing w:val="-1"/>
              </w:rPr>
              <w:t xml:space="preserve"> </w:t>
            </w:r>
            <w:r>
              <w:rPr>
                <w:rFonts w:eastAsia="Arial"/>
              </w:rPr>
              <w:t>Prot</w:t>
            </w:r>
            <w:r>
              <w:rPr>
                <w:rFonts w:eastAsia="Arial"/>
                <w:spacing w:val="1"/>
              </w:rPr>
              <w:t>e</w:t>
            </w:r>
            <w:r>
              <w:rPr>
                <w:rFonts w:eastAsia="Arial"/>
                <w:spacing w:val="-3"/>
              </w:rPr>
              <w:t>c</w:t>
            </w:r>
            <w:r>
              <w:rPr>
                <w:rFonts w:eastAsia="Arial"/>
              </w:rPr>
              <w:t>ti</w:t>
            </w:r>
            <w:r>
              <w:rPr>
                <w:rFonts w:eastAsia="Arial"/>
                <w:spacing w:val="-2"/>
              </w:rPr>
              <w:t>o</w:t>
            </w:r>
            <w:r>
              <w:rPr>
                <w:rFonts w:eastAsia="Arial"/>
              </w:rPr>
              <w:t>n Re</w:t>
            </w:r>
            <w:r>
              <w:rPr>
                <w:rFonts w:eastAsia="Arial"/>
                <w:spacing w:val="-2"/>
              </w:rPr>
              <w:t>g</w:t>
            </w:r>
            <w:r>
              <w:rPr>
                <w:rFonts w:eastAsia="Arial"/>
              </w:rPr>
              <w:t>ulation</w:t>
            </w:r>
            <w:r>
              <w:rPr>
                <w:rFonts w:eastAsia="Arial"/>
                <w:spacing w:val="-1"/>
              </w:rPr>
              <w:t xml:space="preserve"> </w:t>
            </w:r>
            <w:r>
              <w:rPr>
                <w:rFonts w:eastAsia="Arial"/>
              </w:rPr>
              <w:t xml:space="preserve">links </w:t>
            </w:r>
            <w:r>
              <w:rPr>
                <w:rFonts w:eastAsia="Arial"/>
                <w:spacing w:val="-2"/>
              </w:rPr>
              <w:t>u</w:t>
            </w:r>
            <w:r>
              <w:rPr>
                <w:rFonts w:eastAsia="Arial"/>
              </w:rPr>
              <w:t>p</w:t>
            </w:r>
            <w:r>
              <w:rPr>
                <w:rFonts w:eastAsia="Arial"/>
                <w:spacing w:val="-2"/>
              </w:rPr>
              <w:t>d</w:t>
            </w:r>
            <w:r>
              <w:rPr>
                <w:rFonts w:eastAsia="Arial"/>
              </w:rPr>
              <w:t>at</w:t>
            </w:r>
            <w:r>
              <w:rPr>
                <w:rFonts w:eastAsia="Arial"/>
                <w:spacing w:val="1"/>
              </w:rPr>
              <w:t>e</w:t>
            </w:r>
            <w:r>
              <w:rPr>
                <w:rFonts w:eastAsia="Arial"/>
              </w:rPr>
              <w:t>d</w:t>
            </w:r>
          </w:p>
        </w:tc>
        <w:tc>
          <w:tcPr>
            <w:tcW w:w="1998" w:type="dxa"/>
          </w:tcPr>
          <w:p w14:paraId="6118E849" w14:textId="308BC83B" w:rsidR="004F2BF0" w:rsidRDefault="004C3577" w:rsidP="00DA47BF">
            <w:pPr>
              <w:pStyle w:val="TableFieldContent"/>
            </w:pPr>
            <w:r>
              <w:t>17/09/2019</w:t>
            </w:r>
          </w:p>
        </w:tc>
      </w:tr>
      <w:tr w:rsidR="004F2BF0" w:rsidRPr="00A324B2" w14:paraId="44AC17E3" w14:textId="77777777" w:rsidTr="00CC2609">
        <w:trPr>
          <w:trHeight w:val="397"/>
        </w:trPr>
        <w:tc>
          <w:tcPr>
            <w:tcW w:w="1696" w:type="dxa"/>
          </w:tcPr>
          <w:p w14:paraId="1799F012" w14:textId="49C8C4FD" w:rsidR="004F2BF0" w:rsidRDefault="004C3577" w:rsidP="00BB0914">
            <w:pPr>
              <w:pStyle w:val="TableFieldContent"/>
            </w:pPr>
            <w:r>
              <w:t>7.00</w:t>
            </w:r>
          </w:p>
        </w:tc>
        <w:tc>
          <w:tcPr>
            <w:tcW w:w="5344" w:type="dxa"/>
          </w:tcPr>
          <w:p w14:paraId="079BB184" w14:textId="0CAAD786" w:rsidR="004F2BF0" w:rsidRPr="004C3577" w:rsidRDefault="004C3577" w:rsidP="004C3577">
            <w:pPr>
              <w:pStyle w:val="TableParagraph"/>
              <w:spacing w:line="336" w:lineRule="auto"/>
              <w:rPr>
                <w:rFonts w:ascii="Arial" w:eastAsia="Arial" w:hAnsi="Arial" w:cs="Arial"/>
                <w:sz w:val="24"/>
                <w:szCs w:val="24"/>
              </w:rPr>
            </w:pPr>
            <w:r>
              <w:rPr>
                <w:rFonts w:ascii="Arial" w:eastAsia="Arial" w:hAnsi="Arial" w:cs="Arial"/>
                <w:sz w:val="24"/>
                <w:szCs w:val="24"/>
              </w:rPr>
              <w:t>H</w:t>
            </w:r>
            <w:r>
              <w:rPr>
                <w:rFonts w:ascii="Arial" w:eastAsia="Arial" w:hAnsi="Arial" w:cs="Arial"/>
                <w:spacing w:val="-3"/>
                <w:sz w:val="24"/>
                <w:szCs w:val="24"/>
              </w:rPr>
              <w:t>y</w:t>
            </w:r>
            <w:r>
              <w:rPr>
                <w:rFonts w:ascii="Arial" w:eastAsia="Arial" w:hAnsi="Arial" w:cs="Arial"/>
                <w:sz w:val="24"/>
                <w:szCs w:val="24"/>
              </w:rPr>
              <w:t>per</w:t>
            </w:r>
            <w:r>
              <w:rPr>
                <w:rFonts w:ascii="Arial" w:eastAsia="Arial" w:hAnsi="Arial" w:cs="Arial"/>
                <w:spacing w:val="-2"/>
                <w:sz w:val="24"/>
                <w:szCs w:val="24"/>
              </w:rPr>
              <w:t>l</w:t>
            </w:r>
            <w:r>
              <w:rPr>
                <w:rFonts w:ascii="Arial" w:eastAsia="Arial" w:hAnsi="Arial" w:cs="Arial"/>
                <w:sz w:val="24"/>
                <w:szCs w:val="24"/>
              </w:rPr>
              <w:t>inks to</w:t>
            </w:r>
            <w:r>
              <w:rPr>
                <w:rFonts w:ascii="Arial" w:eastAsia="Arial" w:hAnsi="Arial" w:cs="Arial"/>
                <w:spacing w:val="1"/>
                <w:sz w:val="24"/>
                <w:szCs w:val="24"/>
              </w:rPr>
              <w:t xml:space="preserve"> </w:t>
            </w:r>
            <w:r>
              <w:rPr>
                <w:rFonts w:ascii="Arial" w:eastAsia="Arial" w:hAnsi="Arial" w:cs="Arial"/>
                <w:sz w:val="24"/>
                <w:szCs w:val="24"/>
              </w:rPr>
              <w:t>GDPR cor</w:t>
            </w:r>
            <w:r>
              <w:rPr>
                <w:rFonts w:ascii="Arial" w:eastAsia="Arial" w:hAnsi="Arial" w:cs="Arial"/>
                <w:spacing w:val="-2"/>
                <w:sz w:val="24"/>
                <w:szCs w:val="24"/>
              </w:rPr>
              <w:t>r</w:t>
            </w:r>
            <w:r>
              <w:rPr>
                <w:rFonts w:ascii="Arial" w:eastAsia="Arial" w:hAnsi="Arial" w:cs="Arial"/>
                <w:sz w:val="24"/>
                <w:szCs w:val="24"/>
              </w:rPr>
              <w:t>ect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z w:val="24"/>
                <w:szCs w:val="24"/>
              </w:rPr>
              <w:t>ol</w:t>
            </w:r>
            <w:r>
              <w:rPr>
                <w:rFonts w:ascii="Arial" w:eastAsia="Arial" w:hAnsi="Arial" w:cs="Arial"/>
                <w:spacing w:val="-1"/>
                <w:sz w:val="24"/>
                <w:szCs w:val="24"/>
              </w:rPr>
              <w:t>l</w:t>
            </w:r>
            <w:r>
              <w:rPr>
                <w:rFonts w:ascii="Arial" w:eastAsia="Arial" w:hAnsi="Arial" w:cs="Arial"/>
                <w:sz w:val="24"/>
                <w:szCs w:val="24"/>
              </w:rPr>
              <w:t>o</w:t>
            </w:r>
            <w:r>
              <w:rPr>
                <w:rFonts w:ascii="Arial" w:eastAsia="Arial" w:hAnsi="Arial" w:cs="Arial"/>
                <w:spacing w:val="-3"/>
                <w:sz w:val="24"/>
                <w:szCs w:val="24"/>
              </w:rPr>
              <w:t>w</w:t>
            </w:r>
            <w:r>
              <w:rPr>
                <w:rFonts w:ascii="Arial" w:eastAsia="Arial" w:hAnsi="Arial" w:cs="Arial"/>
                <w:sz w:val="24"/>
                <w:szCs w:val="24"/>
              </w:rPr>
              <w:t>ing para</w:t>
            </w:r>
            <w:r>
              <w:rPr>
                <w:rFonts w:ascii="Arial" w:eastAsia="Arial" w:hAnsi="Arial" w:cs="Arial"/>
                <w:spacing w:val="-2"/>
                <w:sz w:val="24"/>
                <w:szCs w:val="24"/>
              </w:rPr>
              <w:t>g</w:t>
            </w:r>
            <w:r>
              <w:rPr>
                <w:rFonts w:ascii="Arial" w:eastAsia="Arial" w:hAnsi="Arial" w:cs="Arial"/>
                <w:sz w:val="24"/>
                <w:szCs w:val="24"/>
              </w:rPr>
              <w:t>raph</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3.</w:t>
            </w:r>
            <w:r>
              <w:rPr>
                <w:rFonts w:ascii="Arial" w:eastAsia="Arial" w:hAnsi="Arial" w:cs="Arial"/>
                <w:spacing w:val="-1"/>
                <w:sz w:val="24"/>
                <w:szCs w:val="24"/>
              </w:rPr>
              <w:t>1</w:t>
            </w:r>
            <w:r>
              <w:rPr>
                <w:rFonts w:ascii="Arial" w:eastAsia="Arial" w:hAnsi="Arial" w:cs="Arial"/>
                <w:sz w:val="24"/>
                <w:szCs w:val="24"/>
              </w:rPr>
              <w:t>, 4</w:t>
            </w:r>
            <w:r>
              <w:rPr>
                <w:rFonts w:ascii="Arial" w:eastAsia="Arial" w:hAnsi="Arial" w:cs="Arial"/>
                <w:spacing w:val="-2"/>
                <w:sz w:val="24"/>
                <w:szCs w:val="24"/>
              </w:rPr>
              <w:t>.</w:t>
            </w:r>
            <w:r>
              <w:rPr>
                <w:rFonts w:ascii="Arial" w:eastAsia="Arial" w:hAnsi="Arial" w:cs="Arial"/>
                <w:sz w:val="24"/>
                <w:szCs w:val="24"/>
              </w:rPr>
              <w:t>3,</w:t>
            </w:r>
            <w:r>
              <w:rPr>
                <w:rFonts w:ascii="Arial" w:eastAsia="Arial" w:hAnsi="Arial" w:cs="Arial"/>
                <w:spacing w:val="-2"/>
                <w:sz w:val="24"/>
                <w:szCs w:val="24"/>
              </w:rPr>
              <w:t xml:space="preserve"> 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
                <w:sz w:val="24"/>
                <w:szCs w:val="24"/>
              </w:rPr>
              <w:t>6</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6.</w:t>
            </w:r>
            <w:r>
              <w:rPr>
                <w:rFonts w:ascii="Arial" w:eastAsia="Arial" w:hAnsi="Arial" w:cs="Arial"/>
                <w:spacing w:val="-1"/>
                <w:sz w:val="24"/>
                <w:szCs w:val="24"/>
              </w:rPr>
              <w:t>3</w:t>
            </w:r>
            <w:r>
              <w:rPr>
                <w:rFonts w:ascii="Arial" w:eastAsia="Arial" w:hAnsi="Arial" w:cs="Arial"/>
                <w:sz w:val="24"/>
                <w:szCs w:val="24"/>
              </w:rPr>
              <w:t>, 7</w:t>
            </w:r>
            <w:r>
              <w:rPr>
                <w:rFonts w:ascii="Arial" w:eastAsia="Arial" w:hAnsi="Arial" w:cs="Arial"/>
                <w:spacing w:val="-2"/>
                <w:sz w:val="24"/>
                <w:szCs w:val="24"/>
              </w:rPr>
              <w:t>.</w:t>
            </w:r>
            <w:r>
              <w:rPr>
                <w:rFonts w:ascii="Arial" w:eastAsia="Arial" w:hAnsi="Arial" w:cs="Arial"/>
                <w:sz w:val="24"/>
                <w:szCs w:val="24"/>
              </w:rPr>
              <w:t>4,</w:t>
            </w:r>
            <w:r>
              <w:rPr>
                <w:rFonts w:ascii="Arial" w:eastAsia="Arial" w:hAnsi="Arial" w:cs="Arial"/>
                <w:spacing w:val="-2"/>
                <w:sz w:val="24"/>
                <w:szCs w:val="24"/>
              </w:rPr>
              <w:t xml:space="preserve"> </w:t>
            </w:r>
            <w:r>
              <w:rPr>
                <w:rFonts w:ascii="Arial" w:eastAsia="Arial" w:hAnsi="Arial" w:cs="Arial"/>
                <w:sz w:val="24"/>
                <w:szCs w:val="24"/>
              </w:rPr>
              <w:t>11</w:t>
            </w:r>
            <w:r>
              <w:rPr>
                <w:rFonts w:ascii="Arial" w:eastAsia="Arial" w:hAnsi="Arial" w:cs="Arial"/>
                <w:spacing w:val="-2"/>
                <w:sz w:val="24"/>
                <w:szCs w:val="24"/>
              </w:rPr>
              <w:t>.</w:t>
            </w:r>
            <w:r>
              <w:rPr>
                <w:rFonts w:ascii="Arial" w:eastAsia="Arial" w:hAnsi="Arial" w:cs="Arial"/>
                <w:sz w:val="24"/>
                <w:szCs w:val="24"/>
              </w:rPr>
              <w:t>2,</w:t>
            </w:r>
            <w:r>
              <w:rPr>
                <w:rFonts w:ascii="Arial" w:eastAsia="Arial" w:hAnsi="Arial" w:cs="Arial"/>
                <w:spacing w:val="-2"/>
                <w:sz w:val="24"/>
                <w:szCs w:val="24"/>
              </w:rPr>
              <w:t xml:space="preserve"> </w:t>
            </w:r>
            <w:r>
              <w:rPr>
                <w:rFonts w:ascii="Arial" w:eastAsia="Arial" w:hAnsi="Arial" w:cs="Arial"/>
                <w:sz w:val="24"/>
                <w:szCs w:val="24"/>
              </w:rPr>
              <w:t>11.</w:t>
            </w:r>
            <w:r>
              <w:rPr>
                <w:rFonts w:ascii="Arial" w:eastAsia="Arial" w:hAnsi="Arial" w:cs="Arial"/>
                <w:spacing w:val="-1"/>
                <w:sz w:val="24"/>
                <w:szCs w:val="24"/>
              </w:rPr>
              <w:t>3</w:t>
            </w:r>
            <w:r>
              <w:rPr>
                <w:rFonts w:ascii="Arial" w:eastAsia="Arial" w:hAnsi="Arial" w:cs="Arial"/>
                <w:sz w:val="24"/>
                <w:szCs w:val="24"/>
              </w:rPr>
              <w:t>,12.</w:t>
            </w: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
                <w:sz w:val="24"/>
                <w:szCs w:val="24"/>
              </w:rPr>
              <w:t>1</w:t>
            </w:r>
            <w:r>
              <w:rPr>
                <w:rFonts w:ascii="Arial" w:eastAsia="Arial" w:hAnsi="Arial" w:cs="Arial"/>
                <w:sz w:val="24"/>
                <w:szCs w:val="24"/>
              </w:rPr>
              <w:t>3.</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2"/>
                <w:sz w:val="24"/>
                <w:szCs w:val="24"/>
              </w:rPr>
              <w:t>4</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15</w:t>
            </w:r>
            <w:r>
              <w:rPr>
                <w:rFonts w:ascii="Arial" w:eastAsia="Arial" w:hAnsi="Arial" w:cs="Arial"/>
                <w:spacing w:val="-2"/>
                <w:sz w:val="24"/>
                <w:szCs w:val="24"/>
              </w:rPr>
              <w:t>.</w:t>
            </w:r>
            <w:r>
              <w:rPr>
                <w:rFonts w:ascii="Arial" w:eastAsia="Arial" w:hAnsi="Arial" w:cs="Arial"/>
                <w:sz w:val="24"/>
                <w:szCs w:val="24"/>
              </w:rPr>
              <w:t>4,</w:t>
            </w:r>
            <w:r>
              <w:rPr>
                <w:rFonts w:ascii="Arial" w:eastAsia="Arial" w:hAnsi="Arial" w:cs="Arial"/>
                <w:spacing w:val="-2"/>
                <w:sz w:val="24"/>
                <w:szCs w:val="24"/>
              </w:rPr>
              <w:t xml:space="preserve"> </w:t>
            </w:r>
            <w:r>
              <w:rPr>
                <w:rFonts w:ascii="Arial" w:eastAsia="Arial" w:hAnsi="Arial" w:cs="Arial"/>
                <w:sz w:val="24"/>
                <w:szCs w:val="24"/>
              </w:rPr>
              <w:t>18.2</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z w:val="24"/>
                <w:szCs w:val="24"/>
              </w:rPr>
              <w:t xml:space="preserve">d </w:t>
            </w:r>
            <w:r>
              <w:rPr>
                <w:rFonts w:ascii="Arial" w:eastAsia="Arial" w:hAnsi="Arial" w:cs="Arial"/>
                <w:spacing w:val="-1"/>
                <w:sz w:val="24"/>
                <w:szCs w:val="24"/>
              </w:rPr>
              <w:t>b</w:t>
            </w:r>
            <w:r>
              <w:rPr>
                <w:rFonts w:ascii="Arial" w:eastAsia="Arial" w:hAnsi="Arial" w:cs="Arial"/>
                <w:sz w:val="24"/>
                <w:szCs w:val="24"/>
              </w:rPr>
              <w:t>ul</w:t>
            </w:r>
            <w:r>
              <w:rPr>
                <w:rFonts w:ascii="Arial" w:eastAsia="Arial" w:hAnsi="Arial" w:cs="Arial"/>
                <w:spacing w:val="-1"/>
                <w:sz w:val="24"/>
                <w:szCs w:val="24"/>
              </w:rPr>
              <w:t>l</w:t>
            </w:r>
            <w:r>
              <w:rPr>
                <w:rFonts w:ascii="Arial" w:eastAsia="Arial" w:hAnsi="Arial" w:cs="Arial"/>
                <w:sz w:val="24"/>
                <w:szCs w:val="24"/>
              </w:rPr>
              <w:t xml:space="preserve">et </w:t>
            </w:r>
            <w:r>
              <w:rPr>
                <w:rFonts w:ascii="Arial" w:eastAsia="Arial" w:hAnsi="Arial" w:cs="Arial"/>
                <w:spacing w:val="-2"/>
                <w:sz w:val="24"/>
                <w:szCs w:val="24"/>
              </w:rPr>
              <w:t>p</w:t>
            </w:r>
            <w:r>
              <w:rPr>
                <w:rFonts w:ascii="Arial" w:eastAsia="Arial" w:hAnsi="Arial" w:cs="Arial"/>
                <w:sz w:val="24"/>
                <w:szCs w:val="24"/>
              </w:rPr>
              <w:t>oint</w:t>
            </w:r>
            <w:r>
              <w:rPr>
                <w:rFonts w:ascii="Arial" w:eastAsia="Arial" w:hAnsi="Arial" w:cs="Arial"/>
                <w:spacing w:val="-2"/>
                <w:sz w:val="24"/>
                <w:szCs w:val="24"/>
              </w:rPr>
              <w:t xml:space="preserve"> o</w:t>
            </w:r>
            <w:r>
              <w:rPr>
                <w:rFonts w:ascii="Arial" w:eastAsia="Arial" w:hAnsi="Arial" w:cs="Arial"/>
                <w:sz w:val="24"/>
                <w:szCs w:val="24"/>
              </w:rPr>
              <w:t>ne in App</w:t>
            </w:r>
            <w:r>
              <w:rPr>
                <w:rFonts w:ascii="Arial" w:eastAsia="Arial" w:hAnsi="Arial" w:cs="Arial"/>
                <w:spacing w:val="-2"/>
                <w:sz w:val="24"/>
                <w:szCs w:val="24"/>
              </w:rPr>
              <w:t>e</w:t>
            </w:r>
            <w:r>
              <w:rPr>
                <w:rFonts w:ascii="Arial" w:eastAsia="Arial" w:hAnsi="Arial" w:cs="Arial"/>
                <w:sz w:val="24"/>
                <w:szCs w:val="24"/>
              </w:rPr>
              <w:t>ndix</w:t>
            </w:r>
            <w:r>
              <w:rPr>
                <w:rFonts w:ascii="Arial" w:eastAsia="Arial" w:hAnsi="Arial" w:cs="Arial"/>
                <w:spacing w:val="-3"/>
                <w:sz w:val="24"/>
                <w:szCs w:val="24"/>
              </w:rPr>
              <w:t xml:space="preserve"> </w:t>
            </w:r>
            <w:r>
              <w:rPr>
                <w:rFonts w:ascii="Arial" w:eastAsia="Arial" w:hAnsi="Arial" w:cs="Arial"/>
                <w:sz w:val="24"/>
                <w:szCs w:val="24"/>
              </w:rPr>
              <w:t>‘A’.</w:t>
            </w:r>
          </w:p>
        </w:tc>
        <w:tc>
          <w:tcPr>
            <w:tcW w:w="1998" w:type="dxa"/>
          </w:tcPr>
          <w:p w14:paraId="7AF5D9A9" w14:textId="56BF9A31" w:rsidR="004F2BF0" w:rsidRDefault="004C3577" w:rsidP="00DA47BF">
            <w:pPr>
              <w:pStyle w:val="TableFieldContent"/>
            </w:pPr>
            <w:r>
              <w:t>23/09/2019</w:t>
            </w:r>
          </w:p>
        </w:tc>
      </w:tr>
      <w:tr w:rsidR="004F2BF0" w:rsidRPr="00A324B2" w14:paraId="076F171C" w14:textId="77777777" w:rsidTr="00CC2609">
        <w:trPr>
          <w:trHeight w:val="397"/>
        </w:trPr>
        <w:tc>
          <w:tcPr>
            <w:tcW w:w="1696" w:type="dxa"/>
          </w:tcPr>
          <w:p w14:paraId="66BB6752" w14:textId="7685F717" w:rsidR="004F2BF0" w:rsidRDefault="004C3577" w:rsidP="00BB0914">
            <w:pPr>
              <w:pStyle w:val="TableFieldContent"/>
            </w:pPr>
            <w:r>
              <w:t>8.00</w:t>
            </w:r>
          </w:p>
        </w:tc>
        <w:tc>
          <w:tcPr>
            <w:tcW w:w="5344" w:type="dxa"/>
          </w:tcPr>
          <w:p w14:paraId="3E779E83" w14:textId="188191D6" w:rsidR="004F2BF0" w:rsidRDefault="004C3577" w:rsidP="00DA47BF">
            <w:pPr>
              <w:pStyle w:val="TableFieldContent"/>
            </w:pPr>
            <w:r>
              <w:rPr>
                <w:rFonts w:eastAsia="Arial"/>
              </w:rPr>
              <w:t>Content fully reviewed and rationalised in line with principles of SOP Review.</w:t>
            </w:r>
          </w:p>
        </w:tc>
        <w:tc>
          <w:tcPr>
            <w:tcW w:w="1998" w:type="dxa"/>
          </w:tcPr>
          <w:p w14:paraId="0E08ECBF" w14:textId="4EC74FF1" w:rsidR="004F2BF0" w:rsidRDefault="004C3577" w:rsidP="00DA47BF">
            <w:pPr>
              <w:pStyle w:val="TableFieldContent"/>
            </w:pPr>
            <w:r>
              <w:t>01/06/2021</w:t>
            </w:r>
          </w:p>
        </w:tc>
      </w:tr>
      <w:tr w:rsidR="004F2BF0" w:rsidRPr="00A324B2" w14:paraId="5677867B" w14:textId="77777777" w:rsidTr="00CC2609">
        <w:trPr>
          <w:trHeight w:val="397"/>
        </w:trPr>
        <w:tc>
          <w:tcPr>
            <w:tcW w:w="1696" w:type="dxa"/>
          </w:tcPr>
          <w:p w14:paraId="3C36E6DD" w14:textId="4E5A229D" w:rsidR="004F2BF0" w:rsidRDefault="004C3577" w:rsidP="00BB0914">
            <w:pPr>
              <w:pStyle w:val="TableFieldContent"/>
            </w:pPr>
            <w:r>
              <w:t>9.00</w:t>
            </w:r>
          </w:p>
        </w:tc>
        <w:tc>
          <w:tcPr>
            <w:tcW w:w="5344" w:type="dxa"/>
          </w:tcPr>
          <w:p w14:paraId="2143830E" w14:textId="7CE97A87" w:rsidR="004F2BF0" w:rsidRDefault="004C3577" w:rsidP="00DA47BF">
            <w:pPr>
              <w:pStyle w:val="TableFieldContent"/>
            </w:pPr>
            <w:r>
              <w:rPr>
                <w:rFonts w:eastAsia="Arial"/>
              </w:rPr>
              <w:t xml:space="preserve">Content fully reviewed and rationalised in line with principles of SOP review.  Amended to incorporate regulatory recommendations </w:t>
            </w:r>
            <w:r>
              <w:rPr>
                <w:rFonts w:eastAsia="Arial"/>
              </w:rPr>
              <w:lastRenderedPageBreak/>
              <w:t>regards accountability principle, restriction of privacy information, the role &amp; responsibilities of the DPO and how to contact them a link to the management framework and information regards how compliance with the SOP will be monitored.</w:t>
            </w:r>
          </w:p>
        </w:tc>
        <w:tc>
          <w:tcPr>
            <w:tcW w:w="1998" w:type="dxa"/>
          </w:tcPr>
          <w:p w14:paraId="3607709A" w14:textId="6E8F131A" w:rsidR="004F2BF0" w:rsidRDefault="004C3577" w:rsidP="00DA47BF">
            <w:pPr>
              <w:pStyle w:val="TableFieldContent"/>
            </w:pPr>
            <w:r>
              <w:lastRenderedPageBreak/>
              <w:t>12/02/2025</w:t>
            </w:r>
          </w:p>
        </w:tc>
      </w:tr>
      <w:tr w:rsidR="004F2BF0" w:rsidRPr="00A324B2" w14:paraId="40E612CF" w14:textId="77777777" w:rsidTr="00CC2609">
        <w:trPr>
          <w:trHeight w:val="397"/>
        </w:trPr>
        <w:tc>
          <w:tcPr>
            <w:tcW w:w="1696" w:type="dxa"/>
          </w:tcPr>
          <w:p w14:paraId="40B25B0A" w14:textId="7E768ABB" w:rsidR="004F2BF0" w:rsidRDefault="004C3577" w:rsidP="00BB0914">
            <w:pPr>
              <w:pStyle w:val="TableFieldContent"/>
            </w:pPr>
            <w:r>
              <w:t>10.00</w:t>
            </w:r>
          </w:p>
        </w:tc>
        <w:tc>
          <w:tcPr>
            <w:tcW w:w="5344" w:type="dxa"/>
          </w:tcPr>
          <w:p w14:paraId="155B5C30" w14:textId="4F08585D" w:rsidR="004F2BF0" w:rsidRDefault="004C3577" w:rsidP="00DA47BF">
            <w:pPr>
              <w:pStyle w:val="TableFieldContent"/>
            </w:pPr>
            <w:r w:rsidRPr="0031566E">
              <w:rPr>
                <w:rFonts w:eastAsia="Arial"/>
              </w:rPr>
              <w:t xml:space="preserve">Email updated P18.  No other changes. Authorised by Policy manager.  </w:t>
            </w:r>
          </w:p>
        </w:tc>
        <w:tc>
          <w:tcPr>
            <w:tcW w:w="1998" w:type="dxa"/>
          </w:tcPr>
          <w:p w14:paraId="6CEC50D6" w14:textId="36581285" w:rsidR="004F2BF0" w:rsidRDefault="004C3577" w:rsidP="00DA47BF">
            <w:pPr>
              <w:pStyle w:val="TableFieldContent"/>
            </w:pPr>
            <w:r>
              <w:t>19/02/2025</w:t>
            </w:r>
          </w:p>
        </w:tc>
      </w:tr>
    </w:tbl>
    <w:p w14:paraId="4DA15396" w14:textId="77777777" w:rsidR="00AA7CEC" w:rsidRPr="00940BDB" w:rsidRDefault="00AA7CEC" w:rsidP="00AA7CEC">
      <w:pPr>
        <w:pStyle w:val="Heading2"/>
      </w:pPr>
      <w:bookmarkStart w:id="124" w:name="_Toc203466161"/>
      <w:bookmarkStart w:id="125" w:name="_Toc204850221"/>
      <w:r w:rsidRPr="00940BDB">
        <w:t>Feedback</w:t>
      </w:r>
      <w:bookmarkEnd w:id="124"/>
      <w:bookmarkEnd w:id="125"/>
    </w:p>
    <w:p w14:paraId="5F5FF66A" w14:textId="77777777" w:rsidR="004C2519" w:rsidRDefault="004C2519" w:rsidP="004C2519">
      <w:pPr>
        <w:pStyle w:val="ParagraphContent"/>
      </w:pPr>
      <w:r>
        <w:t xml:space="preserve">All Police Scotland service delivery Policies, Standard Operating Procedures (SOPs) and National Guidance are subject to regular reviews. It is important that user feedback is considered when documents are reviewed. </w:t>
      </w:r>
    </w:p>
    <w:p w14:paraId="304F9DF1" w14:textId="5957ACF6" w:rsidR="00AA7CEC" w:rsidRDefault="004C2519" w:rsidP="004C2519">
      <w:pPr>
        <w:pStyle w:val="ParagraphContent"/>
      </w:pPr>
      <w:r>
        <w:t xml:space="preserve">If any officer / staff member wishes to provide </w:t>
      </w:r>
      <w:proofErr w:type="gramStart"/>
      <w:r>
        <w:t>comment, or</w:t>
      </w:r>
      <w:proofErr w:type="gramEnd"/>
      <w:r>
        <w:t xml:space="preserve"> make suggestions for improvements to this or any associated document, a </w:t>
      </w:r>
      <w:r w:rsidR="0066513A" w:rsidRPr="00052D8F">
        <w:t>Service Delivery Policy and Procedure Feedback Form (Form 066-014)</w:t>
      </w:r>
      <w:r>
        <w:rPr>
          <w:color w:val="0000FF"/>
        </w:rPr>
        <w:t xml:space="preserve"> </w:t>
      </w:r>
      <w:r>
        <w:t>should be used.</w:t>
      </w:r>
    </w:p>
    <w:p w14:paraId="796AE5F0" w14:textId="77777777" w:rsidR="00AA7CEC" w:rsidRPr="00CF37D7" w:rsidRDefault="00AA7CEC" w:rsidP="00D13A85"/>
    <w:sectPr w:rsidR="00AA7CEC" w:rsidRPr="00CF37D7" w:rsidSect="008017C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EE2A9" w14:textId="77777777" w:rsidR="00D04B2E" w:rsidRDefault="00D04B2E" w:rsidP="00765717">
      <w:r>
        <w:separator/>
      </w:r>
    </w:p>
  </w:endnote>
  <w:endnote w:type="continuationSeparator" w:id="0">
    <w:p w14:paraId="6BDF9E9B" w14:textId="77777777" w:rsidR="00D04B2E" w:rsidRDefault="00D04B2E"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BF85" w14:textId="77777777" w:rsidR="00D04B2E" w:rsidRDefault="00D04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D9EF" w14:textId="77777777" w:rsidR="00C4193B" w:rsidRPr="00765717" w:rsidRDefault="00C4193B" w:rsidP="00166258">
    <w:pPr>
      <w:pStyle w:val="Header"/>
      <w:spacing w:before="0" w:line="240" w:lineRule="auto"/>
      <w:jc w:val="center"/>
      <w:rPr>
        <w:rFonts w:ascii="Arial Black" w:hAnsi="Arial Black"/>
        <w:b/>
        <w:szCs w:val="24"/>
      </w:rPr>
    </w:pPr>
  </w:p>
  <w:p w14:paraId="4D3FA25B" w14:textId="1868B0D5" w:rsidR="00C4193B" w:rsidRPr="00CF37D7" w:rsidRDefault="00C4193B" w:rsidP="00166258">
    <w:pPr>
      <w:pStyle w:val="Footer"/>
      <w:spacing w:before="0" w:line="240" w:lineRule="auto"/>
      <w:rPr>
        <w:sz w:val="20"/>
        <w:szCs w:val="20"/>
      </w:rPr>
    </w:pPr>
    <w:r w:rsidRPr="00CF37D7">
      <w:rPr>
        <w:sz w:val="20"/>
        <w:szCs w:val="20"/>
      </w:rPr>
      <w:t xml:space="preserve">Version </w:t>
    </w:r>
    <w:r w:rsidR="00C74539">
      <w:rPr>
        <w:sz w:val="20"/>
        <w:szCs w:val="20"/>
      </w:rPr>
      <w:t>10</w:t>
    </w:r>
    <w:r w:rsidR="008B7BDE">
      <w:rPr>
        <w:sz w:val="20"/>
        <w:szCs w:val="20"/>
      </w:rPr>
      <w:t>.00</w:t>
    </w:r>
    <w:r w:rsidR="00D04B2E">
      <w:rPr>
        <w:sz w:val="20"/>
        <w:szCs w:val="20"/>
      </w:rPr>
      <w:t xml:space="preserve"> (Publication Scheme)</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184919">
      <w:rPr>
        <w:noProof/>
        <w:sz w:val="20"/>
        <w:szCs w:val="20"/>
      </w:rPr>
      <w:t>2</w:t>
    </w:r>
    <w:r w:rsidRPr="00CF3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12BC" w14:textId="7EFDC7B5" w:rsidR="00C4193B" w:rsidRPr="00765717" w:rsidRDefault="00C4193B" w:rsidP="00166258">
    <w:pPr>
      <w:pStyle w:val="Footer"/>
      <w:spacing w:before="0" w:line="240" w:lineRule="auto"/>
      <w:rPr>
        <w:rFonts w:cs="Arial"/>
        <w:sz w:val="20"/>
        <w:szCs w:val="20"/>
      </w:rPr>
    </w:pPr>
    <w:r w:rsidRPr="00765717">
      <w:rPr>
        <w:rFonts w:cs="Arial"/>
        <w:sz w:val="20"/>
        <w:szCs w:val="20"/>
      </w:rPr>
      <w:t xml:space="preserve">Version </w:t>
    </w:r>
    <w:r w:rsidR="00C74539">
      <w:rPr>
        <w:rFonts w:cs="Arial"/>
        <w:sz w:val="20"/>
        <w:szCs w:val="20"/>
      </w:rPr>
      <w:t>10</w:t>
    </w:r>
    <w:r w:rsidR="005A6AB6">
      <w:rPr>
        <w:rFonts w:cs="Arial"/>
        <w:sz w:val="20"/>
        <w:szCs w:val="20"/>
      </w:rPr>
      <w:t>.00</w:t>
    </w:r>
    <w:r w:rsidR="00D04B2E">
      <w:rPr>
        <w:rFonts w:cs="Arial"/>
        <w:sz w:val="20"/>
        <w:szCs w:val="20"/>
      </w:rPr>
      <w:t xml:space="preserve"> (Publication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6A5D9" w14:textId="77777777" w:rsidR="00D04B2E" w:rsidRDefault="00D04B2E" w:rsidP="00765717">
      <w:r>
        <w:separator/>
      </w:r>
    </w:p>
  </w:footnote>
  <w:footnote w:type="continuationSeparator" w:id="0">
    <w:p w14:paraId="2FF6CFD0" w14:textId="77777777" w:rsidR="00D04B2E" w:rsidRDefault="00D04B2E"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1795D" w14:textId="77777777" w:rsidR="00D04B2E" w:rsidRDefault="00D04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E44E" w14:textId="77777777"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8E78" w14:textId="77777777" w:rsidR="00D04B2E" w:rsidRDefault="00D04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07DD"/>
    <w:multiLevelType w:val="hybridMultilevel"/>
    <w:tmpl w:val="BD5052D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470E82"/>
    <w:multiLevelType w:val="hybridMultilevel"/>
    <w:tmpl w:val="9730A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0F4AA0"/>
    <w:multiLevelType w:val="hybridMultilevel"/>
    <w:tmpl w:val="93489C48"/>
    <w:lvl w:ilvl="0" w:tplc="E7229622">
      <w:start w:val="1"/>
      <w:numFmt w:val="bullet"/>
      <w:lvlText w:val="o"/>
      <w:lvlJc w:val="left"/>
      <w:pPr>
        <w:ind w:left="720" w:hanging="360"/>
      </w:pPr>
      <w:rPr>
        <w:rFonts w:ascii="Courier New" w:hAnsi="Courier New" w:cs="Courier New"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00BA8"/>
    <w:multiLevelType w:val="hybridMultilevel"/>
    <w:tmpl w:val="5C1C3A08"/>
    <w:lvl w:ilvl="0" w:tplc="7D84B2B0">
      <w:start w:val="10"/>
      <w:numFmt w:val="decimal"/>
      <w:suff w:val="space"/>
      <w:lvlText w:val="%1."/>
      <w:lvlJc w:val="left"/>
      <w:pPr>
        <w:ind w:left="45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83871"/>
    <w:multiLevelType w:val="multilevel"/>
    <w:tmpl w:val="1CAAEA6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3A94DA7"/>
    <w:multiLevelType w:val="hybridMultilevel"/>
    <w:tmpl w:val="9E2CA43C"/>
    <w:lvl w:ilvl="0" w:tplc="5F56C8B6">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6469B"/>
    <w:multiLevelType w:val="hybridMultilevel"/>
    <w:tmpl w:val="B294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34A94"/>
    <w:multiLevelType w:val="hybridMultilevel"/>
    <w:tmpl w:val="BB38C75C"/>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1075B5"/>
    <w:multiLevelType w:val="hybridMultilevel"/>
    <w:tmpl w:val="D024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D4B5F"/>
    <w:multiLevelType w:val="hybridMultilevel"/>
    <w:tmpl w:val="6C1CD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C52EDF"/>
    <w:multiLevelType w:val="hybridMultilevel"/>
    <w:tmpl w:val="99B4F516"/>
    <w:lvl w:ilvl="0" w:tplc="5F56C8B6">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9D2084"/>
    <w:multiLevelType w:val="hybridMultilevel"/>
    <w:tmpl w:val="4978D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F57ADE"/>
    <w:multiLevelType w:val="hybridMultilevel"/>
    <w:tmpl w:val="ADAC3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88525C"/>
    <w:multiLevelType w:val="multilevel"/>
    <w:tmpl w:val="AC583AB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8FA59AF"/>
    <w:multiLevelType w:val="hybridMultilevel"/>
    <w:tmpl w:val="C9182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501A3275"/>
    <w:multiLevelType w:val="hybridMultilevel"/>
    <w:tmpl w:val="D5942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5F56C8B6">
      <w:start w:val="1"/>
      <w:numFmt w:val="bullet"/>
      <w:lvlText w:val=""/>
      <w:lvlJc w:val="left"/>
      <w:pPr>
        <w:ind w:left="720" w:hanging="363"/>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C90854"/>
    <w:multiLevelType w:val="hybridMultilevel"/>
    <w:tmpl w:val="7BA6FA94"/>
    <w:lvl w:ilvl="0" w:tplc="5F56C8B6">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16336"/>
    <w:multiLevelType w:val="hybridMultilevel"/>
    <w:tmpl w:val="67685876"/>
    <w:lvl w:ilvl="0" w:tplc="ED1E4D0A">
      <w:start w:val="1"/>
      <w:numFmt w:val="lowerLetter"/>
      <w:lvlText w:val="%1)"/>
      <w:lvlJc w:val="left"/>
      <w:pPr>
        <w:ind w:left="720" w:hanging="363"/>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56B11F8A"/>
    <w:multiLevelType w:val="hybridMultilevel"/>
    <w:tmpl w:val="6F325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7D25F3"/>
    <w:multiLevelType w:val="hybridMultilevel"/>
    <w:tmpl w:val="32DEB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900EB7"/>
    <w:multiLevelType w:val="hybridMultilevel"/>
    <w:tmpl w:val="8554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7974A4"/>
    <w:multiLevelType w:val="hybridMultilevel"/>
    <w:tmpl w:val="3274F5AC"/>
    <w:lvl w:ilvl="0" w:tplc="5F56C8B6">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D0652"/>
    <w:multiLevelType w:val="hybridMultilevel"/>
    <w:tmpl w:val="6D06F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0D628F"/>
    <w:multiLevelType w:val="hybridMultilevel"/>
    <w:tmpl w:val="B03A2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F77762"/>
    <w:multiLevelType w:val="hybridMultilevel"/>
    <w:tmpl w:val="897CD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3C743E"/>
    <w:multiLevelType w:val="hybridMultilevel"/>
    <w:tmpl w:val="F9A005EE"/>
    <w:lvl w:ilvl="0" w:tplc="3D1A8112">
      <w:start w:val="1"/>
      <w:numFmt w:val="decimal"/>
      <w:suff w:val="space"/>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35B3B7F"/>
    <w:multiLevelType w:val="hybridMultilevel"/>
    <w:tmpl w:val="5C384F46"/>
    <w:lvl w:ilvl="0" w:tplc="5F56C8B6">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367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9133708">
    <w:abstractNumId w:val="26"/>
  </w:num>
  <w:num w:numId="3" w16cid:durableId="911547428">
    <w:abstractNumId w:val="16"/>
  </w:num>
  <w:num w:numId="4" w16cid:durableId="1117867781">
    <w:abstractNumId w:val="1"/>
  </w:num>
  <w:num w:numId="5" w16cid:durableId="945960724">
    <w:abstractNumId w:val="23"/>
  </w:num>
  <w:num w:numId="6" w16cid:durableId="453407664">
    <w:abstractNumId w:val="24"/>
  </w:num>
  <w:num w:numId="7" w16cid:durableId="381907991">
    <w:abstractNumId w:val="4"/>
  </w:num>
  <w:num w:numId="8" w16cid:durableId="1633360985">
    <w:abstractNumId w:val="13"/>
  </w:num>
  <w:num w:numId="9" w16cid:durableId="1056391658">
    <w:abstractNumId w:val="0"/>
  </w:num>
  <w:num w:numId="10" w16cid:durableId="708917060">
    <w:abstractNumId w:val="6"/>
  </w:num>
  <w:num w:numId="11" w16cid:durableId="1270815885">
    <w:abstractNumId w:val="11"/>
  </w:num>
  <w:num w:numId="12" w16cid:durableId="306126752">
    <w:abstractNumId w:val="18"/>
  </w:num>
  <w:num w:numId="13" w16cid:durableId="865753583">
    <w:abstractNumId w:val="21"/>
  </w:num>
  <w:num w:numId="14" w16cid:durableId="112747287">
    <w:abstractNumId w:val="5"/>
  </w:num>
  <w:num w:numId="15" w16cid:durableId="1503854730">
    <w:abstractNumId w:val="22"/>
  </w:num>
  <w:num w:numId="16" w16cid:durableId="2092123485">
    <w:abstractNumId w:val="17"/>
  </w:num>
  <w:num w:numId="17" w16cid:durableId="1789665141">
    <w:abstractNumId w:val="12"/>
  </w:num>
  <w:num w:numId="18" w16cid:durableId="132334754">
    <w:abstractNumId w:val="10"/>
  </w:num>
  <w:num w:numId="19" w16cid:durableId="991642739">
    <w:abstractNumId w:val="7"/>
  </w:num>
  <w:num w:numId="20" w16cid:durableId="1477917225">
    <w:abstractNumId w:val="27"/>
  </w:num>
  <w:num w:numId="21" w16cid:durableId="608902412">
    <w:abstractNumId w:val="25"/>
  </w:num>
  <w:num w:numId="22" w16cid:durableId="401952777">
    <w:abstractNumId w:val="9"/>
  </w:num>
  <w:num w:numId="23" w16cid:durableId="836649179">
    <w:abstractNumId w:val="19"/>
  </w:num>
  <w:num w:numId="24" w16cid:durableId="1697997055">
    <w:abstractNumId w:val="14"/>
  </w:num>
  <w:num w:numId="25" w16cid:durableId="1918511467">
    <w:abstractNumId w:val="2"/>
  </w:num>
  <w:num w:numId="26" w16cid:durableId="842400980">
    <w:abstractNumId w:val="8"/>
  </w:num>
  <w:num w:numId="27" w16cid:durableId="2076736506">
    <w:abstractNumId w:val="20"/>
  </w:num>
  <w:num w:numId="28" w16cid:durableId="206833634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2E"/>
    <w:rsid w:val="0002159C"/>
    <w:rsid w:val="000252AD"/>
    <w:rsid w:val="00044E87"/>
    <w:rsid w:val="0005219C"/>
    <w:rsid w:val="00052D8F"/>
    <w:rsid w:val="000648CA"/>
    <w:rsid w:val="00083367"/>
    <w:rsid w:val="000B05CF"/>
    <w:rsid w:val="000B2BF5"/>
    <w:rsid w:val="000B2CF6"/>
    <w:rsid w:val="000B4CF2"/>
    <w:rsid w:val="000C3545"/>
    <w:rsid w:val="000D724A"/>
    <w:rsid w:val="000E0755"/>
    <w:rsid w:val="001032FD"/>
    <w:rsid w:val="0012237A"/>
    <w:rsid w:val="00126F33"/>
    <w:rsid w:val="00132405"/>
    <w:rsid w:val="001366E1"/>
    <w:rsid w:val="00150199"/>
    <w:rsid w:val="001552B8"/>
    <w:rsid w:val="00161C69"/>
    <w:rsid w:val="0016347A"/>
    <w:rsid w:val="0016471D"/>
    <w:rsid w:val="00165822"/>
    <w:rsid w:val="00166258"/>
    <w:rsid w:val="00170879"/>
    <w:rsid w:val="001735FE"/>
    <w:rsid w:val="0017434C"/>
    <w:rsid w:val="001837FB"/>
    <w:rsid w:val="00184919"/>
    <w:rsid w:val="001B0767"/>
    <w:rsid w:val="001D096E"/>
    <w:rsid w:val="001D3EBF"/>
    <w:rsid w:val="001F1197"/>
    <w:rsid w:val="002062BB"/>
    <w:rsid w:val="002143A2"/>
    <w:rsid w:val="00222B23"/>
    <w:rsid w:val="002378E4"/>
    <w:rsid w:val="002451BF"/>
    <w:rsid w:val="00247152"/>
    <w:rsid w:val="002606F3"/>
    <w:rsid w:val="00261D48"/>
    <w:rsid w:val="0027190A"/>
    <w:rsid w:val="00294A11"/>
    <w:rsid w:val="002A3F58"/>
    <w:rsid w:val="002D5412"/>
    <w:rsid w:val="002D7218"/>
    <w:rsid w:val="002E184B"/>
    <w:rsid w:val="002F6369"/>
    <w:rsid w:val="00301D6D"/>
    <w:rsid w:val="00303402"/>
    <w:rsid w:val="003039DB"/>
    <w:rsid w:val="00305879"/>
    <w:rsid w:val="003112E3"/>
    <w:rsid w:val="00323628"/>
    <w:rsid w:val="00325946"/>
    <w:rsid w:val="003337B8"/>
    <w:rsid w:val="0033575B"/>
    <w:rsid w:val="00350927"/>
    <w:rsid w:val="00351C27"/>
    <w:rsid w:val="00367863"/>
    <w:rsid w:val="0039405B"/>
    <w:rsid w:val="003A0B20"/>
    <w:rsid w:val="003A346E"/>
    <w:rsid w:val="003A6849"/>
    <w:rsid w:val="003D0EA3"/>
    <w:rsid w:val="003D281A"/>
    <w:rsid w:val="0041438B"/>
    <w:rsid w:val="00425C31"/>
    <w:rsid w:val="00434D64"/>
    <w:rsid w:val="00442864"/>
    <w:rsid w:val="00452C76"/>
    <w:rsid w:val="004546DC"/>
    <w:rsid w:val="004571AF"/>
    <w:rsid w:val="00473A68"/>
    <w:rsid w:val="00486F00"/>
    <w:rsid w:val="004907C0"/>
    <w:rsid w:val="00490BBA"/>
    <w:rsid w:val="00492C9A"/>
    <w:rsid w:val="004934C6"/>
    <w:rsid w:val="00496BEF"/>
    <w:rsid w:val="004A430E"/>
    <w:rsid w:val="004B21D7"/>
    <w:rsid w:val="004B48AB"/>
    <w:rsid w:val="004C079F"/>
    <w:rsid w:val="004C2519"/>
    <w:rsid w:val="004C3577"/>
    <w:rsid w:val="004D2E6B"/>
    <w:rsid w:val="004D3481"/>
    <w:rsid w:val="004D6A6F"/>
    <w:rsid w:val="004F26FA"/>
    <w:rsid w:val="004F2BF0"/>
    <w:rsid w:val="0051175A"/>
    <w:rsid w:val="00512D23"/>
    <w:rsid w:val="00513DB4"/>
    <w:rsid w:val="00524C86"/>
    <w:rsid w:val="00530FF4"/>
    <w:rsid w:val="0053709F"/>
    <w:rsid w:val="0054709B"/>
    <w:rsid w:val="00556455"/>
    <w:rsid w:val="0058278D"/>
    <w:rsid w:val="00593CC4"/>
    <w:rsid w:val="005A0062"/>
    <w:rsid w:val="005A6AB6"/>
    <w:rsid w:val="005A6DAE"/>
    <w:rsid w:val="005B46F8"/>
    <w:rsid w:val="005D3F77"/>
    <w:rsid w:val="005E44ED"/>
    <w:rsid w:val="005F2EF1"/>
    <w:rsid w:val="005F50C2"/>
    <w:rsid w:val="005F5627"/>
    <w:rsid w:val="006455E2"/>
    <w:rsid w:val="00652E16"/>
    <w:rsid w:val="0065566C"/>
    <w:rsid w:val="00655889"/>
    <w:rsid w:val="0066513A"/>
    <w:rsid w:val="00665C3D"/>
    <w:rsid w:val="006739DB"/>
    <w:rsid w:val="00673C36"/>
    <w:rsid w:val="006C7D8A"/>
    <w:rsid w:val="006E3B89"/>
    <w:rsid w:val="00703E6E"/>
    <w:rsid w:val="0070451C"/>
    <w:rsid w:val="00711286"/>
    <w:rsid w:val="00717072"/>
    <w:rsid w:val="007246A8"/>
    <w:rsid w:val="0073356A"/>
    <w:rsid w:val="00735213"/>
    <w:rsid w:val="00740C25"/>
    <w:rsid w:val="00750F21"/>
    <w:rsid w:val="0075514A"/>
    <w:rsid w:val="00760175"/>
    <w:rsid w:val="00765717"/>
    <w:rsid w:val="00796541"/>
    <w:rsid w:val="007A2FC2"/>
    <w:rsid w:val="007B1CEA"/>
    <w:rsid w:val="007C29ED"/>
    <w:rsid w:val="007D3889"/>
    <w:rsid w:val="007E265B"/>
    <w:rsid w:val="008017CE"/>
    <w:rsid w:val="00805309"/>
    <w:rsid w:val="00823BBE"/>
    <w:rsid w:val="00824E40"/>
    <w:rsid w:val="00844F36"/>
    <w:rsid w:val="00845E8C"/>
    <w:rsid w:val="0089065D"/>
    <w:rsid w:val="008B7BDE"/>
    <w:rsid w:val="008E30E9"/>
    <w:rsid w:val="008E7FEA"/>
    <w:rsid w:val="00906B9A"/>
    <w:rsid w:val="009153A5"/>
    <w:rsid w:val="00943DB6"/>
    <w:rsid w:val="009561C9"/>
    <w:rsid w:val="00957163"/>
    <w:rsid w:val="00964E47"/>
    <w:rsid w:val="0097318C"/>
    <w:rsid w:val="00982327"/>
    <w:rsid w:val="00991FF2"/>
    <w:rsid w:val="009926AF"/>
    <w:rsid w:val="00997AD9"/>
    <w:rsid w:val="009A4F83"/>
    <w:rsid w:val="009B7B77"/>
    <w:rsid w:val="009C1A80"/>
    <w:rsid w:val="009E0114"/>
    <w:rsid w:val="009E6A24"/>
    <w:rsid w:val="00A00837"/>
    <w:rsid w:val="00A02B1A"/>
    <w:rsid w:val="00A20D64"/>
    <w:rsid w:val="00A23789"/>
    <w:rsid w:val="00A26980"/>
    <w:rsid w:val="00A324B2"/>
    <w:rsid w:val="00A53830"/>
    <w:rsid w:val="00A651B3"/>
    <w:rsid w:val="00A664C4"/>
    <w:rsid w:val="00A722CC"/>
    <w:rsid w:val="00A736A0"/>
    <w:rsid w:val="00A7764C"/>
    <w:rsid w:val="00A840F1"/>
    <w:rsid w:val="00AA7CEC"/>
    <w:rsid w:val="00AD010E"/>
    <w:rsid w:val="00AD1044"/>
    <w:rsid w:val="00B038D5"/>
    <w:rsid w:val="00B03D4C"/>
    <w:rsid w:val="00B21973"/>
    <w:rsid w:val="00B3109F"/>
    <w:rsid w:val="00B43709"/>
    <w:rsid w:val="00B5576D"/>
    <w:rsid w:val="00B731B4"/>
    <w:rsid w:val="00B82F8C"/>
    <w:rsid w:val="00BB0914"/>
    <w:rsid w:val="00BB10C1"/>
    <w:rsid w:val="00BB5C85"/>
    <w:rsid w:val="00BD2869"/>
    <w:rsid w:val="00BE1F1A"/>
    <w:rsid w:val="00BF6121"/>
    <w:rsid w:val="00BF7F08"/>
    <w:rsid w:val="00C1136D"/>
    <w:rsid w:val="00C1145A"/>
    <w:rsid w:val="00C4193B"/>
    <w:rsid w:val="00C46229"/>
    <w:rsid w:val="00C50AAF"/>
    <w:rsid w:val="00C74539"/>
    <w:rsid w:val="00C74CB8"/>
    <w:rsid w:val="00C833C3"/>
    <w:rsid w:val="00C87D00"/>
    <w:rsid w:val="00CA0933"/>
    <w:rsid w:val="00CB1259"/>
    <w:rsid w:val="00CC2609"/>
    <w:rsid w:val="00CC53DA"/>
    <w:rsid w:val="00CF37D7"/>
    <w:rsid w:val="00D04B2E"/>
    <w:rsid w:val="00D13A85"/>
    <w:rsid w:val="00D15431"/>
    <w:rsid w:val="00D200FC"/>
    <w:rsid w:val="00D2054D"/>
    <w:rsid w:val="00D73F55"/>
    <w:rsid w:val="00D92C4D"/>
    <w:rsid w:val="00DA47BF"/>
    <w:rsid w:val="00DB14F9"/>
    <w:rsid w:val="00DC2B79"/>
    <w:rsid w:val="00DC32A5"/>
    <w:rsid w:val="00DC5A6D"/>
    <w:rsid w:val="00DD0A90"/>
    <w:rsid w:val="00DD19C7"/>
    <w:rsid w:val="00DE13C4"/>
    <w:rsid w:val="00DF4D9E"/>
    <w:rsid w:val="00E0152D"/>
    <w:rsid w:val="00E031C5"/>
    <w:rsid w:val="00E06BF5"/>
    <w:rsid w:val="00E0785C"/>
    <w:rsid w:val="00E22D31"/>
    <w:rsid w:val="00E23390"/>
    <w:rsid w:val="00E27FED"/>
    <w:rsid w:val="00E70835"/>
    <w:rsid w:val="00E74798"/>
    <w:rsid w:val="00E76ABC"/>
    <w:rsid w:val="00E9412B"/>
    <w:rsid w:val="00E97007"/>
    <w:rsid w:val="00EA1395"/>
    <w:rsid w:val="00EA221B"/>
    <w:rsid w:val="00EC578F"/>
    <w:rsid w:val="00EC5C5E"/>
    <w:rsid w:val="00ED4059"/>
    <w:rsid w:val="00EF5F99"/>
    <w:rsid w:val="00F025C4"/>
    <w:rsid w:val="00F05892"/>
    <w:rsid w:val="00F57498"/>
    <w:rsid w:val="00F57C3E"/>
    <w:rsid w:val="00F74615"/>
    <w:rsid w:val="00F870DF"/>
    <w:rsid w:val="00FA7971"/>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37BE58"/>
  <w15:chartTrackingRefBased/>
  <w15:docId w15:val="{5DE014AE-89B5-43E0-B01E-5686DB89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EC578F"/>
    <w:rPr>
      <w:color w:val="467886"/>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paragraph" w:customStyle="1" w:styleId="TableParagraph">
    <w:name w:val="Table Paragraph"/>
    <w:basedOn w:val="Normal"/>
    <w:uiPriority w:val="1"/>
    <w:qFormat/>
    <w:rsid w:val="004C3577"/>
    <w:pPr>
      <w:widowControl w:val="0"/>
      <w:spacing w:before="0" w:line="240" w:lineRule="auto"/>
    </w:pPr>
    <w:rPr>
      <w:rFonts w:ascii="Calibri" w:hAnsi="Calibri"/>
      <w:sz w:val="22"/>
      <w:lang w:val="en-US" w:eastAsia="en-US"/>
    </w:rPr>
  </w:style>
  <w:style w:type="character" w:styleId="UnresolvedMention">
    <w:name w:val="Unresolved Mention"/>
    <w:basedOn w:val="DefaultParagraphFont"/>
    <w:uiPriority w:val="99"/>
    <w:semiHidden/>
    <w:unhideWhenUsed/>
    <w:rsid w:val="00052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956081">
      <w:bodyDiv w:val="1"/>
      <w:marLeft w:val="0"/>
      <w:marRight w:val="0"/>
      <w:marTop w:val="0"/>
      <w:marBottom w:val="0"/>
      <w:divBdr>
        <w:top w:val="none" w:sz="0" w:space="0" w:color="auto"/>
        <w:left w:val="none" w:sz="0" w:space="0" w:color="auto"/>
        <w:bottom w:val="none" w:sz="0" w:space="0" w:color="auto"/>
        <w:right w:val="none" w:sz="0" w:space="0" w:color="auto"/>
      </w:divBdr>
    </w:div>
    <w:div w:id="1103455386">
      <w:bodyDiv w:val="1"/>
      <w:marLeft w:val="0"/>
      <w:marRight w:val="0"/>
      <w:marTop w:val="0"/>
      <w:marBottom w:val="0"/>
      <w:divBdr>
        <w:top w:val="none" w:sz="0" w:space="0" w:color="auto"/>
        <w:left w:val="none" w:sz="0" w:space="0" w:color="auto"/>
        <w:bottom w:val="none" w:sz="0" w:space="0" w:color="auto"/>
        <w:right w:val="none" w:sz="0" w:space="0" w:color="auto"/>
      </w:divBdr>
    </w:div>
    <w:div w:id="1432428703">
      <w:bodyDiv w:val="1"/>
      <w:marLeft w:val="0"/>
      <w:marRight w:val="0"/>
      <w:marTop w:val="0"/>
      <w:marBottom w:val="0"/>
      <w:divBdr>
        <w:top w:val="none" w:sz="0" w:space="0" w:color="auto"/>
        <w:left w:val="none" w:sz="0" w:space="0" w:color="auto"/>
        <w:bottom w:val="none" w:sz="0" w:space="0" w:color="auto"/>
        <w:right w:val="none" w:sz="0" w:space="0" w:color="auto"/>
      </w:divBdr>
    </w:div>
    <w:div w:id="1647973296">
      <w:bodyDiv w:val="1"/>
      <w:marLeft w:val="0"/>
      <w:marRight w:val="0"/>
      <w:marTop w:val="0"/>
      <w:marBottom w:val="0"/>
      <w:divBdr>
        <w:top w:val="none" w:sz="0" w:space="0" w:color="auto"/>
        <w:left w:val="none" w:sz="0" w:space="0" w:color="auto"/>
        <w:bottom w:val="none" w:sz="0" w:space="0" w:color="auto"/>
        <w:right w:val="none" w:sz="0" w:space="0" w:color="auto"/>
      </w:divBdr>
    </w:div>
    <w:div w:id="20028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Scotland.police.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SC_x0020_Marking xmlns="6e9042f4-8f64-418e-97f9-34ec26e4f720">Official</GSC_x0020_Marking>
    <Stage xmlns="6e9042f4-8f64-418e-97f9-34ec26e4f720">Live</St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4" ma:contentTypeDescription="Create a new document." ma:contentTypeScope="" ma:versionID="db34d267992ebb09178db94e24acd20e">
  <xsd:schema xmlns:xsd="http://www.w3.org/2001/XMLSchema" xmlns:xs="http://www.w3.org/2001/XMLSchema" xmlns:p="http://schemas.microsoft.com/office/2006/metadata/properties" xmlns:ns2="6e9042f4-8f64-418e-97f9-34ec26e4f720" targetNamespace="http://schemas.microsoft.com/office/2006/metadata/properties" ma:root="true" ma:fieldsID="627a7a98a10441d5323399548cdea1a9" ns2:_="">
    <xsd:import namespace="6e9042f4-8f64-418e-97f9-34ec26e4f720"/>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ma:format="Dropdown" ma:internalName="Stage">
      <xsd:simpleType>
        <xsd:restriction base="dms:Choice">
          <xsd:enumeration value="Live"/>
          <xsd:enumeration value="Live - Overdue"/>
          <xsd:enumeration value="Initial Discussion"/>
          <xsd:enumeration value="Drafting"/>
          <xsd:enumeration value="Mandatory Consultation"/>
          <xsd:enumeration value="Re-drafting after Mandatory Consultation"/>
          <xsd:enumeration value="Awaiting Approval"/>
          <xsd:enumeration value="Preparing Publication Scheme"/>
          <xsd:enumeration value="On Hol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2.xml><?xml version="1.0" encoding="utf-8"?>
<ds:datastoreItem xmlns:ds="http://schemas.openxmlformats.org/officeDocument/2006/customXml" ds:itemID="{9AE279DD-C62F-4A04-B760-F577D2697338}">
  <ds:schemaRefs>
    <ds:schemaRef ds:uri="http://schemas.microsoft.com/sharepoint/v3/contenttype/forms"/>
  </ds:schemaRefs>
</ds:datastoreItem>
</file>

<file path=customXml/itemProps3.xml><?xml version="1.0" encoding="utf-8"?>
<ds:datastoreItem xmlns:ds="http://schemas.openxmlformats.org/officeDocument/2006/customXml" ds:itemID="{C8C8E229-8762-4292-8B78-3E6AA3AEF362}">
  <ds:schemaRefs>
    <ds:schemaRef ds:uri="http://schemas.microsoft.com/office/2006/metadata/properties"/>
    <ds:schemaRef ds:uri="http://schemas.microsoft.com/office/infopath/2007/PartnerControls"/>
    <ds:schemaRef ds:uri="6e9042f4-8f64-418e-97f9-34ec26e4f720"/>
  </ds:schemaRefs>
</ds:datastoreItem>
</file>

<file path=customXml/itemProps4.xml><?xml version="1.0" encoding="utf-8"?>
<ds:datastoreItem xmlns:ds="http://schemas.openxmlformats.org/officeDocument/2006/customXml" ds:itemID="{3CE15DB5-9092-4B53-BDB3-1D6135F33300}">
  <ds:schemaRefs>
    <ds:schemaRef ds:uri="http://schemas.openxmlformats.org/officeDocument/2006/bibliography"/>
  </ds:schemaRefs>
</ds:datastoreItem>
</file>

<file path=customXml/itemProps5.xml><?xml version="1.0" encoding="utf-8"?>
<ds:datastoreItem xmlns:ds="http://schemas.openxmlformats.org/officeDocument/2006/customXml" ds:itemID="{AF9CCD65-7D6F-4452-B9DE-370690DAC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6668</Words>
  <Characters>38014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Police Scotland SPA SOP</vt:lpstr>
    </vt:vector>
  </TitlesOfParts>
  <Company/>
  <LinksUpToDate>false</LinksUpToDate>
  <CharactersWithSpaces>44593</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SPA SOP</dc:title>
  <dc:subject/>
  <dc:creator>Rearie, Callum</dc:creator>
  <cp:keywords/>
  <dc:description/>
  <cp:lastModifiedBy>Bull, Matthew</cp:lastModifiedBy>
  <cp:revision>5</cp:revision>
  <dcterms:created xsi:type="dcterms:W3CDTF">2025-07-31T09:34:00Z</dcterms:created>
  <dcterms:modified xsi:type="dcterms:W3CDTF">2025-07-31T09:42:00Z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SPNET\1354547</vt:lpwstr>
  </property>
  <property fmtid="{D5CDD505-2E9C-101B-9397-08002B2CF9AE}" pid="6" name="ClassificationMadeOn">
    <vt:filetime>2025-07-31T09:42:30Z</vt:filetime>
  </property>
  <property fmtid="{D5CDD505-2E9C-101B-9397-08002B2CF9AE}" pid="7" name="ContentTypeId">
    <vt:lpwstr>0x010100AC2645B01CD05D4A99938340C256BE70</vt:lpwstr>
  </property>
</Properties>
</file>