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D40F3C4" w:rsidR="00B17211" w:rsidRPr="00B17211" w:rsidRDefault="00B17211" w:rsidP="007F490F">
            <w:r w:rsidRPr="007F490F">
              <w:rPr>
                <w:rStyle w:val="Heading2Char"/>
              </w:rPr>
              <w:t>Our reference:</w:t>
            </w:r>
            <w:r>
              <w:t xml:space="preserve">  FOI 2</w:t>
            </w:r>
            <w:r w:rsidR="00EF0FBB">
              <w:t>5</w:t>
            </w:r>
            <w:r>
              <w:t>-</w:t>
            </w:r>
            <w:r w:rsidR="00D333A6">
              <w:t>2154</w:t>
            </w:r>
          </w:p>
          <w:p w14:paraId="34BDABA6" w14:textId="65187E7C" w:rsidR="00B17211" w:rsidRDefault="00456324" w:rsidP="00EE2373">
            <w:r w:rsidRPr="007F490F">
              <w:rPr>
                <w:rStyle w:val="Heading2Char"/>
              </w:rPr>
              <w:t>Respon</w:t>
            </w:r>
            <w:r w:rsidR="007D55F6">
              <w:rPr>
                <w:rStyle w:val="Heading2Char"/>
              </w:rPr>
              <w:t>ded to:</w:t>
            </w:r>
            <w:r w:rsidR="007F490F">
              <w:t xml:space="preserve">  </w:t>
            </w:r>
            <w:r w:rsidR="004F6612">
              <w:t>14</w:t>
            </w:r>
            <w:r w:rsidR="004F6612" w:rsidRPr="004F6612">
              <w:rPr>
                <w:vertAlign w:val="superscript"/>
              </w:rPr>
              <w:t>th</w:t>
            </w:r>
            <w:r w:rsidR="006D5799">
              <w:t xml:space="preserve"> </w:t>
            </w:r>
            <w:r w:rsidR="00E43112">
              <w:t>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8ACE370" w14:textId="405D184B" w:rsidR="00D333A6" w:rsidRDefault="00D333A6" w:rsidP="00D333A6">
      <w:pPr>
        <w:pStyle w:val="Heading2"/>
      </w:pPr>
      <w:r w:rsidRPr="00D333A6">
        <w:t>Specifically, I would like to request the following information relating to recent wildfires in the Highlands and Moray (There were incidents near Carrbridge, Grantown-on-Spey, Dava Moor, Upper Knockando and Dallas, Forres): </w:t>
      </w:r>
    </w:p>
    <w:p w14:paraId="57EAB173" w14:textId="77777777" w:rsidR="00925583" w:rsidRPr="00925583" w:rsidRDefault="00925583" w:rsidP="00925583">
      <w:pPr>
        <w:pStyle w:val="ListParagraph"/>
        <w:numPr>
          <w:ilvl w:val="0"/>
          <w:numId w:val="5"/>
        </w:numPr>
        <w:jc w:val="both"/>
        <w:rPr>
          <w:b/>
          <w:bCs/>
        </w:rPr>
      </w:pPr>
      <w:r w:rsidRPr="00925583">
        <w:rPr>
          <w:b/>
          <w:bCs/>
        </w:rPr>
        <w:t xml:space="preserve">Details of the investigations into these wildfires </w:t>
      </w:r>
    </w:p>
    <w:p w14:paraId="4CB72265" w14:textId="7F780ABB" w:rsidR="000F32A4" w:rsidRDefault="001B18E1" w:rsidP="00103EC8">
      <w:pPr>
        <w:jc w:val="both"/>
      </w:pPr>
      <w:r>
        <w:t>On 28</w:t>
      </w:r>
      <w:r w:rsidRPr="001B18E1">
        <w:rPr>
          <w:vertAlign w:val="superscript"/>
        </w:rPr>
        <w:t>th</w:t>
      </w:r>
      <w:r>
        <w:t xml:space="preserve"> of June 2025, Scotland experienced the worst spate of wildfires in its history in terms of acreage of land affected and extent of damage to several estates in both the Highland and Islands and North East Divisions.</w:t>
      </w:r>
    </w:p>
    <w:p w14:paraId="5309B419" w14:textId="3B40B6F9" w:rsidR="00570AE3" w:rsidRDefault="001B18E1" w:rsidP="00103EC8">
      <w:pPr>
        <w:jc w:val="both"/>
      </w:pPr>
      <w:r>
        <w:t>As a result of the size of the areas affected, a request was made for Police Scotland to carry out a proportionate level of enquiry to establish facts and assess whether there were grounds to consider a criminal prosecution</w:t>
      </w:r>
      <w:r w:rsidR="00570AE3">
        <w:t>.</w:t>
      </w:r>
    </w:p>
    <w:p w14:paraId="1B9471D7" w14:textId="1766F427" w:rsidR="007F3677" w:rsidRDefault="00E9752C" w:rsidP="00103EC8">
      <w:pPr>
        <w:jc w:val="both"/>
      </w:pPr>
      <w:r>
        <w:t xml:space="preserve">The </w:t>
      </w:r>
      <w:r w:rsidR="00570AE3">
        <w:t>first fire started on 20</w:t>
      </w:r>
      <w:r w:rsidR="00570AE3" w:rsidRPr="00570AE3">
        <w:rPr>
          <w:vertAlign w:val="superscript"/>
        </w:rPr>
        <w:t>th</w:t>
      </w:r>
      <w:r w:rsidR="00570AE3">
        <w:t xml:space="preserve"> of June in </w:t>
      </w:r>
      <w:r w:rsidR="00925583">
        <w:t xml:space="preserve">the </w:t>
      </w:r>
      <w:r w:rsidR="00F0423E" w:rsidRPr="00925583">
        <w:t xml:space="preserve">B9007 </w:t>
      </w:r>
      <w:r w:rsidR="007F3677" w:rsidRPr="00925583">
        <w:t>Duthil</w:t>
      </w:r>
      <w:r w:rsidR="00570AE3" w:rsidRPr="00925583">
        <w:t>, Carrbridge</w:t>
      </w:r>
      <w:r w:rsidR="005E287E" w:rsidRPr="00925583">
        <w:t>/ Carrbridge moor</w:t>
      </w:r>
      <w:r w:rsidR="00925583">
        <w:t xml:space="preserve"> area</w:t>
      </w:r>
      <w:r w:rsidR="00E60676">
        <w:t>.</w:t>
      </w:r>
      <w:r w:rsidR="00E60676">
        <w:br/>
        <w:t>It r</w:t>
      </w:r>
      <w:r w:rsidR="007F3677">
        <w:t>eignit</w:t>
      </w:r>
      <w:r w:rsidR="00925583">
        <w:t>ed</w:t>
      </w:r>
      <w:r w:rsidR="007F3677">
        <w:t xml:space="preserve"> on 21</w:t>
      </w:r>
      <w:r w:rsidR="007F3677" w:rsidRPr="007F3677">
        <w:rPr>
          <w:vertAlign w:val="superscript"/>
        </w:rPr>
        <w:t>st</w:t>
      </w:r>
      <w:r w:rsidR="007F3677">
        <w:t xml:space="preserve"> and 22</w:t>
      </w:r>
      <w:r w:rsidR="007F3677" w:rsidRPr="007F3677">
        <w:rPr>
          <w:vertAlign w:val="superscript"/>
        </w:rPr>
        <w:t>nd</w:t>
      </w:r>
      <w:r w:rsidR="00E60676">
        <w:rPr>
          <w:vertAlign w:val="superscript"/>
        </w:rPr>
        <w:t xml:space="preserve"> </w:t>
      </w:r>
      <w:r w:rsidR="00E60676" w:rsidRPr="00E60676">
        <w:t>of June and then</w:t>
      </w:r>
      <w:r w:rsidR="007F3677">
        <w:t xml:space="preserve"> lay dormant </w:t>
      </w:r>
      <w:r w:rsidR="00E60676">
        <w:t xml:space="preserve">again </w:t>
      </w:r>
      <w:r w:rsidR="007F3677">
        <w:t>before reigniting on 28</w:t>
      </w:r>
      <w:r w:rsidR="007F3677" w:rsidRPr="007F3677">
        <w:rPr>
          <w:vertAlign w:val="superscript"/>
        </w:rPr>
        <w:t>th</w:t>
      </w:r>
      <w:r w:rsidR="007F3677">
        <w:t xml:space="preserve"> of June</w:t>
      </w:r>
      <w:r w:rsidR="00E60676">
        <w:t xml:space="preserve">.  It </w:t>
      </w:r>
      <w:r w:rsidR="007F3677">
        <w:t xml:space="preserve">burned until </w:t>
      </w:r>
      <w:r w:rsidR="005E287E">
        <w:t xml:space="preserve">it was fully </w:t>
      </w:r>
      <w:r>
        <w:t>extinguished</w:t>
      </w:r>
      <w:r w:rsidR="005E287E">
        <w:t xml:space="preserve"> </w:t>
      </w:r>
      <w:r w:rsidR="007F7A00">
        <w:t xml:space="preserve">on </w:t>
      </w:r>
      <w:r w:rsidR="007F3677">
        <w:t>1</w:t>
      </w:r>
      <w:r w:rsidR="007F3677" w:rsidRPr="007F3677">
        <w:rPr>
          <w:vertAlign w:val="superscript"/>
        </w:rPr>
        <w:t>st</w:t>
      </w:r>
      <w:r w:rsidR="007F3677">
        <w:t xml:space="preserve"> of July</w:t>
      </w:r>
      <w:r w:rsidR="00925583">
        <w:t xml:space="preserve">. </w:t>
      </w:r>
    </w:p>
    <w:p w14:paraId="2F106CEB" w14:textId="59FCFDEC" w:rsidR="00925583" w:rsidRDefault="00925583" w:rsidP="00103EC8">
      <w:pPr>
        <w:jc w:val="both"/>
      </w:pPr>
      <w:r>
        <w:t>The second fire was in the Moyness area on 28</w:t>
      </w:r>
      <w:r>
        <w:rPr>
          <w:vertAlign w:val="superscript"/>
        </w:rPr>
        <w:t>th</w:t>
      </w:r>
      <w:r>
        <w:t xml:space="preserve"> June 2025.</w:t>
      </w:r>
    </w:p>
    <w:p w14:paraId="687A75B4" w14:textId="054C9986" w:rsidR="00925583" w:rsidRPr="00AE6B97" w:rsidRDefault="00925583" w:rsidP="00103EC8">
      <w:pPr>
        <w:jc w:val="both"/>
      </w:pPr>
      <w:r>
        <w:t xml:space="preserve">The third fire was east of </w:t>
      </w:r>
      <w:r w:rsidR="00E60676">
        <w:t xml:space="preserve">the </w:t>
      </w:r>
      <w:r>
        <w:t>B9007 near Dava, also on 28</w:t>
      </w:r>
      <w:r w:rsidRPr="00925583">
        <w:rPr>
          <w:vertAlign w:val="superscript"/>
        </w:rPr>
        <w:t>th</w:t>
      </w:r>
      <w:r>
        <w:t xml:space="preserve"> June 2025.</w:t>
      </w:r>
    </w:p>
    <w:p w14:paraId="3B1AB6C0" w14:textId="657F9219" w:rsidR="00E60676" w:rsidRDefault="00E60676" w:rsidP="00103EC8">
      <w:pPr>
        <w:jc w:val="both"/>
      </w:pPr>
      <w:r>
        <w:t>Following investigation, there is no evidence that any of the fires were started wilfully, nor to the degree where culpable and reckless criminality might be considered.</w:t>
      </w:r>
    </w:p>
    <w:p w14:paraId="0B69F262" w14:textId="77777777" w:rsidR="005D4562" w:rsidRPr="000F32A4" w:rsidRDefault="005D4562" w:rsidP="00925583"/>
    <w:p w14:paraId="53B7D3E2" w14:textId="3229DE70" w:rsidR="00925583" w:rsidRPr="00925583" w:rsidRDefault="00D333A6" w:rsidP="00925583">
      <w:pPr>
        <w:pStyle w:val="Heading2"/>
        <w:numPr>
          <w:ilvl w:val="0"/>
          <w:numId w:val="2"/>
        </w:numPr>
      </w:pPr>
      <w:r w:rsidRPr="00D333A6">
        <w:t>including any identified causes or contributing factors?</w:t>
      </w:r>
    </w:p>
    <w:p w14:paraId="6C3B567A" w14:textId="4630CE5D" w:rsidR="009111A8" w:rsidRPr="00925583" w:rsidRDefault="00D333A6" w:rsidP="00925583">
      <w:pPr>
        <w:pStyle w:val="Heading2"/>
        <w:numPr>
          <w:ilvl w:val="0"/>
          <w:numId w:val="2"/>
        </w:numPr>
      </w:pPr>
      <w:r w:rsidRPr="00D333A6">
        <w:t>Any information held on the potential causes of these wildfires including but not limited to human activity, natural causes, or other possible factors?</w:t>
      </w:r>
    </w:p>
    <w:p w14:paraId="3B35632E" w14:textId="77777777" w:rsidR="00E60676" w:rsidRDefault="00E60676"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5BB1C270" w14:textId="00D009A2" w:rsidR="00F75BCB" w:rsidRDefault="00E60676" w:rsidP="00103EC8">
      <w:pPr>
        <w:jc w:val="both"/>
      </w:pPr>
      <w:r>
        <w:lastRenderedPageBreak/>
        <w:t>Section 34(1)(b) - Investigations</w:t>
      </w:r>
    </w:p>
    <w:p w14:paraId="67861555" w14:textId="511C800E" w:rsidR="00E60676" w:rsidRDefault="00E60676" w:rsidP="00103EC8">
      <w:pPr>
        <w:jc w:val="both"/>
      </w:pPr>
      <w:r>
        <w:t>Section 35(1)(a)&amp;(b) - Law Enforcement</w:t>
      </w:r>
    </w:p>
    <w:p w14:paraId="641F809A" w14:textId="7B0A75AB" w:rsidR="00E60676" w:rsidRDefault="00E60676" w:rsidP="00103EC8">
      <w:pPr>
        <w:jc w:val="both"/>
      </w:pPr>
      <w:r>
        <w:t>Information is exempt information if it is held for the purposes of an investigation which may lead to Police Scotland making a report to the Procurator Fiscal to determine whether criminal proceedings should be instituted.</w:t>
      </w:r>
    </w:p>
    <w:p w14:paraId="53C2D01A" w14:textId="0FDDB384" w:rsidR="00E60676" w:rsidRDefault="00E60676" w:rsidP="00103EC8">
      <w:pPr>
        <w:jc w:val="both"/>
      </w:pPr>
      <w:r>
        <w:t>Disclosure would prejudice the prevention and detection of crime and the apprehension and prosecution of offenders.</w:t>
      </w:r>
      <w:r w:rsidR="004F6612">
        <w:t xml:space="preserve"> </w:t>
      </w:r>
      <w:r>
        <w:t>It is essential that information relating to Police Scotland investigations is treated with confidence and that any disclosures are limited to the associated criminal justice procedures.</w:t>
      </w:r>
    </w:p>
    <w:p w14:paraId="406B0C3D" w14:textId="3BAF98A0" w:rsidR="00E60676" w:rsidRDefault="00E60676" w:rsidP="00103EC8">
      <w:pPr>
        <w:jc w:val="both"/>
      </w:pPr>
      <w:r>
        <w:t>Whilst we accept that there is a public interest insofar as better informing the public regarding investigations of interest to them, the public interest is catered for by confirmation that following investigation, there is no evidence that any of the fires were started wilfully, nor to the degree where culpable and reckless criminality might be considered.</w:t>
      </w:r>
    </w:p>
    <w:p w14:paraId="2635DEF3" w14:textId="496CAD77" w:rsidR="00E60676" w:rsidRDefault="00E60676" w:rsidP="00103EC8">
      <w:pPr>
        <w:jc w:val="both"/>
      </w:pPr>
      <w:r>
        <w:t>On balance, the integrity of the investigative process and the role of Police Scotland in that process carry more weight than public debate of the matters involved.</w:t>
      </w:r>
    </w:p>
    <w:p w14:paraId="3ACE4B20" w14:textId="77777777" w:rsidR="00E60676" w:rsidRPr="001B18E1" w:rsidRDefault="00E60676" w:rsidP="00925583"/>
    <w:p w14:paraId="32F4E25E" w14:textId="4DB9839A" w:rsidR="00D333A6" w:rsidRDefault="00D333A6" w:rsidP="00925583">
      <w:pPr>
        <w:pStyle w:val="Heading2"/>
        <w:numPr>
          <w:ilvl w:val="0"/>
          <w:numId w:val="2"/>
        </w:numPr>
      </w:pPr>
      <w:r w:rsidRPr="00D333A6">
        <w:t>Are there any records or reports of incidents involving flares or similar pyotechnics in these areas that may have posed a fire risk or contributed to a wildfire?</w:t>
      </w:r>
    </w:p>
    <w:p w14:paraId="2D181B21" w14:textId="3F769916" w:rsidR="00E60676" w:rsidRDefault="00E60676" w:rsidP="00103EC8">
      <w:pPr>
        <w:jc w:val="both"/>
      </w:pPr>
      <w:r>
        <w:t>I am refusing to confirm or deny whether the information sought exists or is held by Police Scotland in terms of section 18.</w:t>
      </w:r>
    </w:p>
    <w:p w14:paraId="10D58D91" w14:textId="77777777" w:rsidR="00E60676" w:rsidRDefault="00E60676" w:rsidP="00103EC8">
      <w:pPr>
        <w:jc w:val="both"/>
      </w:pPr>
      <w:r>
        <w:t>Section 18 applies where the following two conditions are met:</w:t>
      </w:r>
    </w:p>
    <w:p w14:paraId="6BA4BF93" w14:textId="77777777" w:rsidR="00E60676" w:rsidRDefault="00E60676" w:rsidP="00103EC8">
      <w:pPr>
        <w:pStyle w:val="ListParagraph"/>
        <w:numPr>
          <w:ilvl w:val="0"/>
          <w:numId w:val="6"/>
        </w:numPr>
        <w:jc w:val="both"/>
      </w:pPr>
      <w:r>
        <w:t>It would be contrary to the public interest to reveal whether the information is held.</w:t>
      </w:r>
    </w:p>
    <w:p w14:paraId="50476DDA" w14:textId="02A7EA7E" w:rsidR="00E60676" w:rsidRDefault="00E60676" w:rsidP="00103EC8">
      <w:pPr>
        <w:pStyle w:val="ListParagraph"/>
        <w:ind w:left="360"/>
        <w:jc w:val="both"/>
      </w:pPr>
      <w:r>
        <w:t xml:space="preserve">Whilst we accept that </w:t>
      </w:r>
      <w:r w:rsidR="008635EF">
        <w:t>there is a public interest insofar as better informing the public regarding investigations of interest to them</w:t>
      </w:r>
      <w:r>
        <w:t xml:space="preserve">, the overwhelming public interest lies in </w:t>
      </w:r>
      <w:r w:rsidR="008635EF">
        <w:t>protecting the integrity of the investigative process and the role of Police Scotland in that process</w:t>
      </w:r>
      <w:r>
        <w:t>.</w:t>
      </w:r>
    </w:p>
    <w:p w14:paraId="5F4E1976" w14:textId="42E1731E" w:rsidR="00E60676" w:rsidRPr="000C4182" w:rsidRDefault="00E60676" w:rsidP="00103EC8">
      <w:pPr>
        <w:pStyle w:val="ListParagraph"/>
        <w:numPr>
          <w:ilvl w:val="0"/>
          <w:numId w:val="6"/>
        </w:numPr>
        <w:tabs>
          <w:tab w:val="left" w:pos="5400"/>
        </w:tabs>
        <w:jc w:val="both"/>
        <w:rPr>
          <w:rFonts w:eastAsiaTheme="majorEastAsia" w:cstheme="majorBidi"/>
          <w:bCs/>
          <w:color w:val="000000" w:themeColor="text1"/>
          <w:szCs w:val="26"/>
        </w:rPr>
      </w:pPr>
      <w:r>
        <w:t xml:space="preserve">If the information was held, it would be exempt from disclosure in terms of at least one exemption set out in the Act.  In this instance, the </w:t>
      </w:r>
      <w:r w:rsidR="008635EF">
        <w:t>exemptions outlined above at the previous question would apply.</w:t>
      </w:r>
    </w:p>
    <w:p w14:paraId="22677CE1" w14:textId="2E5A889E" w:rsidR="00FA6F47" w:rsidRDefault="00FA6F47" w:rsidP="00925583">
      <w:pPr>
        <w:pStyle w:val="Heading2"/>
        <w:numPr>
          <w:ilvl w:val="0"/>
          <w:numId w:val="2"/>
        </w:numPr>
      </w:pPr>
      <w:r w:rsidRPr="00D333A6">
        <w:lastRenderedPageBreak/>
        <w:t>Information relating to the use of and potential lack of available helicopters to assist in firefighting in these areas?</w:t>
      </w:r>
    </w:p>
    <w:p w14:paraId="0265D8A9" w14:textId="4D10822F" w:rsidR="0036425D" w:rsidRDefault="0036425D" w:rsidP="00103EC8">
      <w:pPr>
        <w:jc w:val="both"/>
      </w:pPr>
      <w:r>
        <w:rPr>
          <w:rFonts w:eastAsiaTheme="majorEastAsia" w:cstheme="majorBidi"/>
          <w:bCs/>
          <w:color w:val="000000" w:themeColor="text1"/>
          <w:szCs w:val="26"/>
        </w:rPr>
        <w:t xml:space="preserve">Limited information is held which </w:t>
      </w:r>
      <w:r w:rsidR="003A3719">
        <w:rPr>
          <w:rFonts w:eastAsiaTheme="majorEastAsia" w:cstheme="majorBidi"/>
          <w:bCs/>
          <w:color w:val="000000" w:themeColor="text1"/>
          <w:szCs w:val="26"/>
        </w:rPr>
        <w:t>refers</w:t>
      </w:r>
      <w:r>
        <w:rPr>
          <w:rFonts w:eastAsiaTheme="majorEastAsia" w:cstheme="majorBidi"/>
          <w:bCs/>
          <w:color w:val="000000" w:themeColor="text1"/>
          <w:szCs w:val="26"/>
        </w:rPr>
        <w:t xml:space="preserve"> to the use of helicopters</w:t>
      </w:r>
      <w:r w:rsidR="00392194">
        <w:t xml:space="preserve"> </w:t>
      </w:r>
      <w:r w:rsidR="00F468D3">
        <w:t>during the firefighting effort</w:t>
      </w:r>
      <w:r w:rsidR="003A3719">
        <w:t>,</w:t>
      </w:r>
      <w:r w:rsidR="00F468D3">
        <w:t xml:space="preserve"> </w:t>
      </w:r>
      <w:r w:rsidR="00392194">
        <w:t>but I am refusing to provide it in terms of s</w:t>
      </w:r>
      <w:r w:rsidR="00392194" w:rsidRPr="00453F0A">
        <w:t>ection 16</w:t>
      </w:r>
      <w:r w:rsidR="00392194">
        <w:t>(1) of the Act on the basis that the exemptions outlined above apply.</w:t>
      </w:r>
    </w:p>
    <w:p w14:paraId="375AFF5C" w14:textId="77777777" w:rsidR="00FD4A6F" w:rsidRPr="009E5486" w:rsidRDefault="00FD4A6F" w:rsidP="00925583"/>
    <w:p w14:paraId="5D2AD0E0" w14:textId="40549CB2" w:rsidR="00D333A6" w:rsidRDefault="00D333A6" w:rsidP="00925583">
      <w:pPr>
        <w:pStyle w:val="Heading2"/>
        <w:numPr>
          <w:ilvl w:val="0"/>
          <w:numId w:val="2"/>
        </w:numPr>
      </w:pPr>
      <w:r w:rsidRPr="00D333A6">
        <w:t>Copies of any reports, emails, documents or communications related to these wildfires?</w:t>
      </w:r>
    </w:p>
    <w:p w14:paraId="7C08F92B" w14:textId="1865341B" w:rsidR="000149AC" w:rsidRPr="0059210F" w:rsidRDefault="000149AC" w:rsidP="00103EC8">
      <w:pPr>
        <w:jc w:val="both"/>
      </w:pPr>
      <w:r w:rsidRPr="000149AC">
        <w:t xml:space="preserve">I regret to inform you that I estimate it would cost well in excess of the current FOI cost threshold of £600 to process your request. I am therefore refusing to provide the information sought in terms of section </w:t>
      </w:r>
      <w:r w:rsidRPr="0059210F">
        <w:t>12(1) of the Act – Excessive Cost of Compliance.</w:t>
      </w:r>
    </w:p>
    <w:p w14:paraId="6E2F60B1" w14:textId="39A1D945" w:rsidR="0059210F" w:rsidRPr="0059210F" w:rsidRDefault="00C410E3" w:rsidP="00103EC8">
      <w:pPr>
        <w:jc w:val="both"/>
      </w:pPr>
      <w:r>
        <w:t>T</w:t>
      </w:r>
      <w:r w:rsidR="0059210F" w:rsidRPr="0059210F">
        <w:t xml:space="preserve">he only way to provide an accurate and consistent response to this </w:t>
      </w:r>
      <w:r>
        <w:t xml:space="preserve">part of your </w:t>
      </w:r>
      <w:r w:rsidR="0059210F" w:rsidRPr="0059210F">
        <w:t xml:space="preserve">request would be to conduct research in </w:t>
      </w:r>
      <w:r w:rsidR="0059210F" w:rsidRPr="0059210F">
        <w:rPr>
          <w:i/>
          <w:iCs/>
        </w:rPr>
        <w:t>all</w:t>
      </w:r>
      <w:r w:rsidR="0059210F" w:rsidRPr="0059210F">
        <w:t xml:space="preserve"> shared drives, personal drives, personal email accounts and group mailboxes across many Force Departments for multiple Force Divisions, for any material of relevance to the wildfire incidents.</w:t>
      </w:r>
    </w:p>
    <w:p w14:paraId="45DFEACE" w14:textId="7EDBA316" w:rsidR="0059210F" w:rsidRDefault="0059210F" w:rsidP="00103EC8">
      <w:pPr>
        <w:jc w:val="both"/>
      </w:pPr>
      <w:r w:rsidRPr="0059210F">
        <w:t>Given the volume of information that would be required to be read through and assessed, this exercise would far exceed the cost limit set out in the Fees Regulations</w:t>
      </w:r>
      <w:r w:rsidR="008635EF">
        <w:t>.</w:t>
      </w:r>
    </w:p>
    <w:p w14:paraId="371DFFED" w14:textId="42E0A715" w:rsidR="008635EF" w:rsidRDefault="008635EF" w:rsidP="00103EC8">
      <w:pPr>
        <w:jc w:val="both"/>
      </w:pPr>
      <w:r>
        <w:t>I would also stress that any such materials would likely attract the exemptions from disclosure outlined above.</w:t>
      </w:r>
    </w:p>
    <w:p w14:paraId="04725015" w14:textId="60714D5A" w:rsidR="00C410E3" w:rsidRDefault="00C410E3" w:rsidP="00103EC8">
      <w:pPr>
        <w:jc w:val="both"/>
      </w:pPr>
      <w:r>
        <w:t>To be of assistance, I have enclosed a copy of the Police Scotland statements/ press releases in relation to the incidents.</w:t>
      </w:r>
    </w:p>
    <w:p w14:paraId="07F507C0" w14:textId="77777777" w:rsidR="0059210F" w:rsidRPr="00B11A55" w:rsidRDefault="0059210F" w:rsidP="000149AC">
      <w:pPr>
        <w:jc w:val="both"/>
      </w:pPr>
    </w:p>
    <w:p w14:paraId="34BDABBE" w14:textId="320EAA83" w:rsidR="00496A08" w:rsidRPr="00BF6B81" w:rsidRDefault="00496A08" w:rsidP="00A833C0">
      <w:pPr>
        <w:jc w:val="both"/>
      </w:pPr>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A833C0">
      <w:pPr>
        <w:jc w:val="both"/>
      </w:pPr>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A833C0">
      <w:pPr>
        <w:jc w:val="both"/>
      </w:pPr>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A833C0">
      <w:pPr>
        <w:jc w:val="both"/>
      </w:pPr>
      <w:r w:rsidRPr="007C470A">
        <w:t>Following an OSIC appeal, you can appeal to the Court of Session on a point of law only.</w:t>
      </w:r>
      <w:r w:rsidR="00D47E36">
        <w:t xml:space="preserve"> </w:t>
      </w:r>
    </w:p>
    <w:p w14:paraId="34BDABC2" w14:textId="77777777" w:rsidR="00B11A55" w:rsidRDefault="00B11A55" w:rsidP="00A833C0">
      <w:pPr>
        <w:jc w:val="both"/>
      </w:pPr>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A833C0">
      <w:pPr>
        <w:jc w:val="both"/>
      </w:pPr>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EF5259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31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412BE0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31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43B719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31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523FBA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319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092858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319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103AA4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319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446"/>
    <w:multiLevelType w:val="hybridMultilevel"/>
    <w:tmpl w:val="FBC2F610"/>
    <w:lvl w:ilvl="0" w:tplc="2FA2D842">
      <w:start w:val="1"/>
      <w:numFmt w:val="bullet"/>
      <w:lvlText w:val=""/>
      <w:lvlJc w:val="left"/>
      <w:pPr>
        <w:ind w:left="360" w:hanging="360"/>
      </w:pPr>
      <w:rPr>
        <w:rFonts w:ascii="Symbol" w:eastAsiaTheme="minorHAnsi" w:hAnsi="Symbo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DC5E80"/>
    <w:multiLevelType w:val="multilevel"/>
    <w:tmpl w:val="1FAC7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4F56D9"/>
    <w:multiLevelType w:val="hybridMultilevel"/>
    <w:tmpl w:val="1E3AE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2A0103"/>
    <w:multiLevelType w:val="hybridMultilevel"/>
    <w:tmpl w:val="817291C4"/>
    <w:lvl w:ilvl="0" w:tplc="8E18988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5"/>
  </w:num>
  <w:num w:numId="2" w16cid:durableId="314384387">
    <w:abstractNumId w:val="1"/>
  </w:num>
  <w:num w:numId="3" w16cid:durableId="1945140496">
    <w:abstractNumId w:val="0"/>
  </w:num>
  <w:num w:numId="4" w16cid:durableId="1058819181">
    <w:abstractNumId w:val="4"/>
  </w:num>
  <w:num w:numId="5" w16cid:durableId="219370847">
    <w:abstractNumId w:val="3"/>
  </w:num>
  <w:num w:numId="6" w16cid:durableId="21870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49AC"/>
    <w:rsid w:val="00090F3B"/>
    <w:rsid w:val="000B1ABE"/>
    <w:rsid w:val="000E2F19"/>
    <w:rsid w:val="000E43FF"/>
    <w:rsid w:val="000E6526"/>
    <w:rsid w:val="000F32A4"/>
    <w:rsid w:val="00103EC8"/>
    <w:rsid w:val="00141533"/>
    <w:rsid w:val="001464BF"/>
    <w:rsid w:val="00161E0F"/>
    <w:rsid w:val="00167528"/>
    <w:rsid w:val="00195CC4"/>
    <w:rsid w:val="001A3467"/>
    <w:rsid w:val="001B18E1"/>
    <w:rsid w:val="001C34E6"/>
    <w:rsid w:val="001F2261"/>
    <w:rsid w:val="001F3D50"/>
    <w:rsid w:val="0020087D"/>
    <w:rsid w:val="00207326"/>
    <w:rsid w:val="002133FA"/>
    <w:rsid w:val="00253DF6"/>
    <w:rsid w:val="00255F1E"/>
    <w:rsid w:val="00260FBC"/>
    <w:rsid w:val="00265830"/>
    <w:rsid w:val="002C0147"/>
    <w:rsid w:val="0036425D"/>
    <w:rsid w:val="0036503B"/>
    <w:rsid w:val="00376A4A"/>
    <w:rsid w:val="00381234"/>
    <w:rsid w:val="00392194"/>
    <w:rsid w:val="003A3719"/>
    <w:rsid w:val="003D6D03"/>
    <w:rsid w:val="003D76F2"/>
    <w:rsid w:val="003E12CA"/>
    <w:rsid w:val="003F4743"/>
    <w:rsid w:val="004010DC"/>
    <w:rsid w:val="004341F0"/>
    <w:rsid w:val="00456324"/>
    <w:rsid w:val="004678A4"/>
    <w:rsid w:val="00475460"/>
    <w:rsid w:val="00490317"/>
    <w:rsid w:val="00491644"/>
    <w:rsid w:val="004956F9"/>
    <w:rsid w:val="00496A08"/>
    <w:rsid w:val="004E1605"/>
    <w:rsid w:val="004F653C"/>
    <w:rsid w:val="004F6612"/>
    <w:rsid w:val="00535D4C"/>
    <w:rsid w:val="00540A52"/>
    <w:rsid w:val="00557306"/>
    <w:rsid w:val="00565FD0"/>
    <w:rsid w:val="00570AE3"/>
    <w:rsid w:val="0059210F"/>
    <w:rsid w:val="005C4DF3"/>
    <w:rsid w:val="005D4562"/>
    <w:rsid w:val="005D5771"/>
    <w:rsid w:val="005E287E"/>
    <w:rsid w:val="005E69A3"/>
    <w:rsid w:val="00645CFA"/>
    <w:rsid w:val="0066517B"/>
    <w:rsid w:val="00667FED"/>
    <w:rsid w:val="00681DE4"/>
    <w:rsid w:val="00685219"/>
    <w:rsid w:val="006B39C4"/>
    <w:rsid w:val="006D5799"/>
    <w:rsid w:val="007440EA"/>
    <w:rsid w:val="00750D83"/>
    <w:rsid w:val="00785DBC"/>
    <w:rsid w:val="00793DD5"/>
    <w:rsid w:val="007C2326"/>
    <w:rsid w:val="007C553A"/>
    <w:rsid w:val="007D55F6"/>
    <w:rsid w:val="007F3677"/>
    <w:rsid w:val="007F490F"/>
    <w:rsid w:val="007F7A00"/>
    <w:rsid w:val="008255D9"/>
    <w:rsid w:val="008635EF"/>
    <w:rsid w:val="0086779C"/>
    <w:rsid w:val="00874BFD"/>
    <w:rsid w:val="008964EF"/>
    <w:rsid w:val="008D33F8"/>
    <w:rsid w:val="008D68AC"/>
    <w:rsid w:val="009111A8"/>
    <w:rsid w:val="00915E01"/>
    <w:rsid w:val="00925583"/>
    <w:rsid w:val="009631A4"/>
    <w:rsid w:val="00977296"/>
    <w:rsid w:val="00986631"/>
    <w:rsid w:val="009D2AA5"/>
    <w:rsid w:val="009E49AC"/>
    <w:rsid w:val="009E5486"/>
    <w:rsid w:val="00A24921"/>
    <w:rsid w:val="00A25E93"/>
    <w:rsid w:val="00A320FF"/>
    <w:rsid w:val="00A70AC0"/>
    <w:rsid w:val="00A833C0"/>
    <w:rsid w:val="00A84EA9"/>
    <w:rsid w:val="00A971A2"/>
    <w:rsid w:val="00AB025E"/>
    <w:rsid w:val="00AC319B"/>
    <w:rsid w:val="00AC443C"/>
    <w:rsid w:val="00AE6B97"/>
    <w:rsid w:val="00B033D6"/>
    <w:rsid w:val="00B11A55"/>
    <w:rsid w:val="00B17211"/>
    <w:rsid w:val="00B353F1"/>
    <w:rsid w:val="00B461B2"/>
    <w:rsid w:val="00B654B6"/>
    <w:rsid w:val="00B71B3C"/>
    <w:rsid w:val="00BC389E"/>
    <w:rsid w:val="00BD0588"/>
    <w:rsid w:val="00BE1888"/>
    <w:rsid w:val="00BF6B81"/>
    <w:rsid w:val="00C077A8"/>
    <w:rsid w:val="00C14FF4"/>
    <w:rsid w:val="00C1679F"/>
    <w:rsid w:val="00C410E3"/>
    <w:rsid w:val="00C479CD"/>
    <w:rsid w:val="00C606A2"/>
    <w:rsid w:val="00C63872"/>
    <w:rsid w:val="00C84948"/>
    <w:rsid w:val="00C94ED8"/>
    <w:rsid w:val="00CB3E09"/>
    <w:rsid w:val="00CD0A2D"/>
    <w:rsid w:val="00CF1111"/>
    <w:rsid w:val="00D05706"/>
    <w:rsid w:val="00D17B70"/>
    <w:rsid w:val="00D22BE0"/>
    <w:rsid w:val="00D27DC5"/>
    <w:rsid w:val="00D333A6"/>
    <w:rsid w:val="00D47E36"/>
    <w:rsid w:val="00D62884"/>
    <w:rsid w:val="00E43112"/>
    <w:rsid w:val="00E55D79"/>
    <w:rsid w:val="00E60676"/>
    <w:rsid w:val="00E9752C"/>
    <w:rsid w:val="00EE2373"/>
    <w:rsid w:val="00EE23A4"/>
    <w:rsid w:val="00EF0FBB"/>
    <w:rsid w:val="00EF4761"/>
    <w:rsid w:val="00F0423E"/>
    <w:rsid w:val="00F27036"/>
    <w:rsid w:val="00F468D3"/>
    <w:rsid w:val="00F5486F"/>
    <w:rsid w:val="00F75BCB"/>
    <w:rsid w:val="00F85354"/>
    <w:rsid w:val="00FA3E80"/>
    <w:rsid w:val="00FA6F47"/>
    <w:rsid w:val="00FB0C8E"/>
    <w:rsid w:val="00FC2DA7"/>
    <w:rsid w:val="00FD4A6F"/>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04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936">
      <w:bodyDiv w:val="1"/>
      <w:marLeft w:val="0"/>
      <w:marRight w:val="0"/>
      <w:marTop w:val="0"/>
      <w:marBottom w:val="0"/>
      <w:divBdr>
        <w:top w:val="none" w:sz="0" w:space="0" w:color="auto"/>
        <w:left w:val="none" w:sz="0" w:space="0" w:color="auto"/>
        <w:bottom w:val="none" w:sz="0" w:space="0" w:color="auto"/>
        <w:right w:val="none" w:sz="0" w:space="0" w:color="auto"/>
      </w:divBdr>
    </w:div>
    <w:div w:id="131101091">
      <w:bodyDiv w:val="1"/>
      <w:marLeft w:val="0"/>
      <w:marRight w:val="0"/>
      <w:marTop w:val="0"/>
      <w:marBottom w:val="0"/>
      <w:divBdr>
        <w:top w:val="none" w:sz="0" w:space="0" w:color="auto"/>
        <w:left w:val="none" w:sz="0" w:space="0" w:color="auto"/>
        <w:bottom w:val="none" w:sz="0" w:space="0" w:color="auto"/>
        <w:right w:val="none" w:sz="0" w:space="0" w:color="auto"/>
      </w:divBdr>
    </w:div>
    <w:div w:id="1024215019">
      <w:bodyDiv w:val="1"/>
      <w:marLeft w:val="0"/>
      <w:marRight w:val="0"/>
      <w:marTop w:val="0"/>
      <w:marBottom w:val="0"/>
      <w:divBdr>
        <w:top w:val="none" w:sz="0" w:space="0" w:color="auto"/>
        <w:left w:val="none" w:sz="0" w:space="0" w:color="auto"/>
        <w:bottom w:val="none" w:sz="0" w:space="0" w:color="auto"/>
        <w:right w:val="none" w:sz="0" w:space="0" w:color="auto"/>
      </w:divBdr>
    </w:div>
    <w:div w:id="12092190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0e32d40b-a8f5-4c24-a46b-b72b5f0b9b52"/>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964</Words>
  <Characters>5501</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2025-08-14T16:30:00Z</cp:lastPrinted>
  <dcterms:created xsi:type="dcterms:W3CDTF">2025-08-14T16:29:00Z</dcterms:created>
  <dcterms:modified xsi:type="dcterms:W3CDTF">2025-08-14T16:31:00Z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