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F0E06">
              <w:t>0821</w:t>
            </w:r>
          </w:p>
          <w:p w:rsidR="00B17211" w:rsidRDefault="00456324" w:rsidP="002F0E06">
            <w:r w:rsidRPr="007F490F">
              <w:rPr>
                <w:rStyle w:val="Heading2Char"/>
              </w:rPr>
              <w:t>Respon</w:t>
            </w:r>
            <w:r w:rsidR="007D55F6">
              <w:rPr>
                <w:rStyle w:val="Heading2Char"/>
              </w:rPr>
              <w:t>ded to:</w:t>
            </w:r>
            <w:r w:rsidR="007F490F">
              <w:t xml:space="preserve">  </w:t>
            </w:r>
            <w:r w:rsidR="002F0E06">
              <w:t>28</w:t>
            </w:r>
            <w:r w:rsidR="002F0E06" w:rsidRPr="002F0E06">
              <w:rPr>
                <w:vertAlign w:val="superscript"/>
              </w:rPr>
              <w:t>th</w:t>
            </w:r>
            <w:r w:rsidR="002F0E06">
              <w:t xml:space="preserve"> </w:t>
            </w:r>
            <w:r w:rsidR="00A84EA9">
              <w:t>April</w:t>
            </w:r>
            <w:r>
              <w:t xml:space="preserve"> 2023</w:t>
            </w:r>
          </w:p>
        </w:tc>
      </w:tr>
    </w:tbl>
    <w:p w:rsidR="002F0E06" w:rsidRPr="002F0E06" w:rsidRDefault="002F0E06" w:rsidP="002F0E06">
      <w:r w:rsidRPr="002F0E06">
        <w:t xml:space="preserve">Tackling domestic abuse is a priority for Police Scotland and we are committed to working with our partners to reduce the harm it causes and ultimately eradicate it. </w:t>
      </w:r>
    </w:p>
    <w:p w:rsidR="002F0E06" w:rsidRPr="002F0E06" w:rsidRDefault="002F0E06" w:rsidP="002F0E06">
      <w:r w:rsidRPr="002F0E06">
        <w:t xml:space="preserve">Domestic abuse is a despicable and debilitating crime which affects all of our communities and has no respect for ability, age, ethnicity, gender, race, religion or sexual orientation. </w:t>
      </w:r>
    </w:p>
    <w:p w:rsidR="002F0E06" w:rsidRPr="002F0E06" w:rsidRDefault="002F0E06" w:rsidP="002F0E06">
      <w:r w:rsidRPr="002F0E06">
        <w:t xml:space="preserve">Police Scotland will not tolerate it. </w:t>
      </w:r>
    </w:p>
    <w:p w:rsidR="002F0E06" w:rsidRPr="002F0E06" w:rsidRDefault="002F0E06" w:rsidP="002F0E06">
      <w:r w:rsidRPr="002F0E06">
        <w:t xml:space="preserve">Police Scotland will proactively target perpetrators and support victims to prevent domestic abuse from damaging the lives of victims and their families. </w:t>
      </w:r>
    </w:p>
    <w:p w:rsidR="002F0E06" w:rsidRPr="002F0E06" w:rsidRDefault="002F0E06" w:rsidP="002F0E06">
      <w:r w:rsidRPr="002F0E06">
        <w:t>Police Scotland defines domestic abuse as:</w:t>
      </w:r>
    </w:p>
    <w:p w:rsidR="002F0E06" w:rsidRPr="002F0E06" w:rsidRDefault="002F0E06" w:rsidP="002F0E06">
      <w:r w:rsidRPr="002F0E06">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rsidR="002F0E06" w:rsidRDefault="002F0E06" w:rsidP="0036503B">
      <w:r w:rsidRPr="002F0E06">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8" w:history="1">
        <w:r w:rsidRPr="002F0E06">
          <w:rPr>
            <w:color w:val="0000FF"/>
            <w:u w:val="single"/>
          </w:rPr>
          <w:t>Police Scotland (scotland.police.uk)</w:t>
        </w:r>
      </w:hyperlink>
      <w:r w:rsidRPr="002F0E06">
        <w:t xml:space="preserve"> or on the COPFS website on </w:t>
      </w:r>
      <w:hyperlink r:id="rId9" w:history="1">
        <w:r w:rsidRPr="002F0E06">
          <w:rPr>
            <w:color w:val="0000FF"/>
            <w:u w:val="single"/>
          </w:rPr>
          <w:t>Crown Office and Procurator Fiscal Service (copfs.gov.uk)</w:t>
        </w:r>
      </w:hyperlink>
    </w:p>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F0E06" w:rsidRDefault="002F0E06" w:rsidP="002F0E06">
      <w:pPr>
        <w:tabs>
          <w:tab w:val="left" w:pos="5400"/>
        </w:tabs>
        <w:rPr>
          <w:rFonts w:eastAsiaTheme="majorEastAsia" w:cstheme="majorBidi"/>
          <w:b/>
          <w:color w:val="000000" w:themeColor="text1"/>
          <w:szCs w:val="26"/>
        </w:rPr>
      </w:pPr>
      <w:r w:rsidRPr="002F0E06">
        <w:rPr>
          <w:rFonts w:eastAsiaTheme="majorEastAsia" w:cstheme="majorBidi"/>
          <w:b/>
          <w:color w:val="000000" w:themeColor="text1"/>
          <w:szCs w:val="26"/>
        </w:rPr>
        <w:t>How many cases were there of suspected domestic abuse, in which a case was investigated with or without the cooperation of the victim(s), each year for the past ten years?</w:t>
      </w:r>
    </w:p>
    <w:p w:rsidR="002F0E06" w:rsidRPr="002F0E06" w:rsidRDefault="002F0E06" w:rsidP="002F0E06">
      <w:pPr>
        <w:tabs>
          <w:tab w:val="left" w:pos="5400"/>
        </w:tabs>
        <w:rPr>
          <w:rFonts w:eastAsiaTheme="majorEastAsia" w:cstheme="majorBidi"/>
          <w:b/>
          <w:color w:val="000000" w:themeColor="text1"/>
          <w:szCs w:val="26"/>
        </w:rPr>
      </w:pPr>
      <w:r w:rsidRPr="002F0E06">
        <w:rPr>
          <w:rFonts w:eastAsiaTheme="majorEastAsia" w:cstheme="majorBidi"/>
          <w:b/>
          <w:color w:val="000000" w:themeColor="text1"/>
          <w:szCs w:val="26"/>
        </w:rPr>
        <w:t>How many cases of suspected domestic abuse were sent to COPFS for possible charges, each year for the past ten years?</w:t>
      </w:r>
    </w:p>
    <w:p w:rsidR="002F0E06" w:rsidRDefault="002F0E06" w:rsidP="002F0E06">
      <w:r>
        <w:lastRenderedPageBreak/>
        <w:t>In regards to these two questions, please find details of recorded and detected crimes of domestic abuse in the table below.  I would ask that you note the caveats provided below the table.</w:t>
      </w:r>
    </w:p>
    <w:p w:rsidR="002F0E06" w:rsidRDefault="002F0E06" w:rsidP="002F0E06">
      <w:pPr>
        <w:pStyle w:val="Heading2"/>
      </w:pPr>
      <w:r>
        <w:t xml:space="preserve">Recorded/Detected Domestic Crimes </w:t>
      </w:r>
      <w:r w:rsidRPr="002F0E06">
        <w:t>Period: 1st January 2014 to</w:t>
      </w:r>
      <w:r>
        <w:t xml:space="preserve"> 31st March 2023</w:t>
      </w:r>
    </w:p>
    <w:tbl>
      <w:tblPr>
        <w:tblStyle w:val="TableGrid"/>
        <w:tblW w:w="10341" w:type="dxa"/>
        <w:tblLook w:val="04A0" w:firstRow="1" w:lastRow="0" w:firstColumn="1" w:lastColumn="0" w:noHBand="0" w:noVBand="1"/>
        <w:tblCaption w:val="Recorded/Detected Domestic Crimes for the period 1st January 2014 to 31st March 2023"/>
        <w:tblDescription w:val="Recorded/Detected Domestic Crimes for the period 1st January 2014 to 31st March 2023"/>
      </w:tblPr>
      <w:tblGrid>
        <w:gridCol w:w="1408"/>
        <w:gridCol w:w="1017"/>
        <w:gridCol w:w="884"/>
        <w:gridCol w:w="884"/>
        <w:gridCol w:w="884"/>
        <w:gridCol w:w="884"/>
        <w:gridCol w:w="884"/>
        <w:gridCol w:w="884"/>
        <w:gridCol w:w="884"/>
        <w:gridCol w:w="884"/>
        <w:gridCol w:w="844"/>
      </w:tblGrid>
      <w:tr w:rsidR="002F0E06" w:rsidRPr="002F0E06" w:rsidTr="00FC6937">
        <w:trPr>
          <w:trHeight w:val="290"/>
          <w:tblHeader/>
        </w:trPr>
        <w:tc>
          <w:tcPr>
            <w:tcW w:w="1408" w:type="dxa"/>
            <w:shd w:val="clear" w:color="auto" w:fill="D9D9D9" w:themeFill="background1" w:themeFillShade="D9"/>
            <w:noWrap/>
            <w:hideMark/>
          </w:tcPr>
          <w:p w:rsidR="002F0E06" w:rsidRPr="002F0E06" w:rsidRDefault="002F0E06">
            <w:pPr>
              <w:rPr>
                <w:b/>
                <w:bCs/>
              </w:rPr>
            </w:pPr>
            <w:r w:rsidRPr="002F0E06">
              <w:rPr>
                <w:b/>
                <w:bCs/>
              </w:rPr>
              <w:t>Year</w:t>
            </w:r>
          </w:p>
        </w:tc>
        <w:tc>
          <w:tcPr>
            <w:tcW w:w="1017" w:type="dxa"/>
            <w:shd w:val="clear" w:color="auto" w:fill="D9D9D9" w:themeFill="background1" w:themeFillShade="D9"/>
            <w:noWrap/>
            <w:hideMark/>
          </w:tcPr>
          <w:p w:rsidR="002F0E06" w:rsidRPr="002F0E06" w:rsidRDefault="002F0E06" w:rsidP="002F0E06">
            <w:pPr>
              <w:rPr>
                <w:b/>
                <w:bCs/>
              </w:rPr>
            </w:pPr>
            <w:r w:rsidRPr="002F0E06">
              <w:rPr>
                <w:b/>
                <w:bCs/>
              </w:rPr>
              <w:t>2014</w:t>
            </w:r>
          </w:p>
        </w:tc>
        <w:tc>
          <w:tcPr>
            <w:tcW w:w="884" w:type="dxa"/>
            <w:shd w:val="clear" w:color="auto" w:fill="D9D9D9" w:themeFill="background1" w:themeFillShade="D9"/>
            <w:noWrap/>
            <w:hideMark/>
          </w:tcPr>
          <w:p w:rsidR="002F0E06" w:rsidRPr="002F0E06" w:rsidRDefault="002F0E06" w:rsidP="002F0E06">
            <w:pPr>
              <w:rPr>
                <w:b/>
                <w:bCs/>
              </w:rPr>
            </w:pPr>
            <w:r w:rsidRPr="002F0E06">
              <w:rPr>
                <w:b/>
                <w:bCs/>
              </w:rPr>
              <w:t>2015</w:t>
            </w:r>
          </w:p>
        </w:tc>
        <w:tc>
          <w:tcPr>
            <w:tcW w:w="884" w:type="dxa"/>
            <w:shd w:val="clear" w:color="auto" w:fill="D9D9D9" w:themeFill="background1" w:themeFillShade="D9"/>
            <w:noWrap/>
            <w:hideMark/>
          </w:tcPr>
          <w:p w:rsidR="002F0E06" w:rsidRPr="002F0E06" w:rsidRDefault="002F0E06" w:rsidP="002F0E06">
            <w:pPr>
              <w:rPr>
                <w:b/>
                <w:bCs/>
              </w:rPr>
            </w:pPr>
            <w:r w:rsidRPr="002F0E06">
              <w:rPr>
                <w:b/>
                <w:bCs/>
              </w:rPr>
              <w:t>2016</w:t>
            </w:r>
          </w:p>
        </w:tc>
        <w:tc>
          <w:tcPr>
            <w:tcW w:w="884" w:type="dxa"/>
            <w:shd w:val="clear" w:color="auto" w:fill="D9D9D9" w:themeFill="background1" w:themeFillShade="D9"/>
            <w:noWrap/>
            <w:hideMark/>
          </w:tcPr>
          <w:p w:rsidR="002F0E06" w:rsidRPr="002F0E06" w:rsidRDefault="002F0E06" w:rsidP="002F0E06">
            <w:pPr>
              <w:rPr>
                <w:b/>
                <w:bCs/>
              </w:rPr>
            </w:pPr>
            <w:r w:rsidRPr="002F0E06">
              <w:rPr>
                <w:b/>
                <w:bCs/>
              </w:rPr>
              <w:t>2017</w:t>
            </w:r>
          </w:p>
        </w:tc>
        <w:tc>
          <w:tcPr>
            <w:tcW w:w="884" w:type="dxa"/>
            <w:shd w:val="clear" w:color="auto" w:fill="D9D9D9" w:themeFill="background1" w:themeFillShade="D9"/>
            <w:noWrap/>
            <w:hideMark/>
          </w:tcPr>
          <w:p w:rsidR="002F0E06" w:rsidRPr="002F0E06" w:rsidRDefault="002F0E06" w:rsidP="002F0E06">
            <w:pPr>
              <w:rPr>
                <w:b/>
                <w:bCs/>
              </w:rPr>
            </w:pPr>
            <w:r w:rsidRPr="002F0E06">
              <w:rPr>
                <w:b/>
                <w:bCs/>
              </w:rPr>
              <w:t>2018</w:t>
            </w:r>
          </w:p>
        </w:tc>
        <w:tc>
          <w:tcPr>
            <w:tcW w:w="884" w:type="dxa"/>
            <w:shd w:val="clear" w:color="auto" w:fill="D9D9D9" w:themeFill="background1" w:themeFillShade="D9"/>
            <w:noWrap/>
            <w:hideMark/>
          </w:tcPr>
          <w:p w:rsidR="002F0E06" w:rsidRPr="002F0E06" w:rsidRDefault="002F0E06" w:rsidP="002F0E06">
            <w:pPr>
              <w:rPr>
                <w:b/>
                <w:bCs/>
              </w:rPr>
            </w:pPr>
            <w:r w:rsidRPr="002F0E06">
              <w:rPr>
                <w:b/>
                <w:bCs/>
              </w:rPr>
              <w:t>2019</w:t>
            </w:r>
          </w:p>
        </w:tc>
        <w:tc>
          <w:tcPr>
            <w:tcW w:w="884" w:type="dxa"/>
            <w:shd w:val="clear" w:color="auto" w:fill="D9D9D9" w:themeFill="background1" w:themeFillShade="D9"/>
            <w:noWrap/>
            <w:hideMark/>
          </w:tcPr>
          <w:p w:rsidR="002F0E06" w:rsidRPr="002F0E06" w:rsidRDefault="002F0E06" w:rsidP="002F0E06">
            <w:pPr>
              <w:rPr>
                <w:b/>
                <w:bCs/>
              </w:rPr>
            </w:pPr>
            <w:r w:rsidRPr="002F0E06">
              <w:rPr>
                <w:b/>
                <w:bCs/>
              </w:rPr>
              <w:t>2020</w:t>
            </w:r>
          </w:p>
        </w:tc>
        <w:tc>
          <w:tcPr>
            <w:tcW w:w="884" w:type="dxa"/>
            <w:shd w:val="clear" w:color="auto" w:fill="D9D9D9" w:themeFill="background1" w:themeFillShade="D9"/>
            <w:noWrap/>
            <w:hideMark/>
          </w:tcPr>
          <w:p w:rsidR="002F0E06" w:rsidRPr="002F0E06" w:rsidRDefault="002F0E06" w:rsidP="002F0E06">
            <w:pPr>
              <w:rPr>
                <w:b/>
                <w:bCs/>
              </w:rPr>
            </w:pPr>
            <w:r w:rsidRPr="002F0E06">
              <w:rPr>
                <w:b/>
                <w:bCs/>
              </w:rPr>
              <w:t>2021</w:t>
            </w:r>
          </w:p>
        </w:tc>
        <w:tc>
          <w:tcPr>
            <w:tcW w:w="884" w:type="dxa"/>
            <w:shd w:val="clear" w:color="auto" w:fill="D9D9D9" w:themeFill="background1" w:themeFillShade="D9"/>
            <w:noWrap/>
            <w:hideMark/>
          </w:tcPr>
          <w:p w:rsidR="002F0E06" w:rsidRPr="002F0E06" w:rsidRDefault="002F0E06" w:rsidP="002F0E06">
            <w:pPr>
              <w:rPr>
                <w:b/>
                <w:bCs/>
              </w:rPr>
            </w:pPr>
            <w:r w:rsidRPr="002F0E06">
              <w:rPr>
                <w:b/>
                <w:bCs/>
              </w:rPr>
              <w:t>2022</w:t>
            </w:r>
          </w:p>
        </w:tc>
        <w:tc>
          <w:tcPr>
            <w:tcW w:w="844" w:type="dxa"/>
            <w:shd w:val="clear" w:color="auto" w:fill="D9D9D9" w:themeFill="background1" w:themeFillShade="D9"/>
            <w:noWrap/>
            <w:hideMark/>
          </w:tcPr>
          <w:p w:rsidR="002F0E06" w:rsidRPr="002F0E06" w:rsidRDefault="002F0E06" w:rsidP="002F0E06">
            <w:pPr>
              <w:rPr>
                <w:b/>
                <w:bCs/>
              </w:rPr>
            </w:pPr>
            <w:r w:rsidRPr="002F0E06">
              <w:rPr>
                <w:b/>
                <w:bCs/>
              </w:rPr>
              <w:t>2023*</w:t>
            </w:r>
          </w:p>
        </w:tc>
      </w:tr>
      <w:tr w:rsidR="002F0E06" w:rsidRPr="002F0E06" w:rsidTr="002F0E06">
        <w:trPr>
          <w:trHeight w:val="300"/>
        </w:trPr>
        <w:tc>
          <w:tcPr>
            <w:tcW w:w="1408" w:type="dxa"/>
            <w:noWrap/>
            <w:hideMark/>
          </w:tcPr>
          <w:p w:rsidR="002F0E06" w:rsidRPr="002F0E06" w:rsidRDefault="002F0E06">
            <w:pPr>
              <w:rPr>
                <w:bCs/>
              </w:rPr>
            </w:pPr>
            <w:r w:rsidRPr="002F0E06">
              <w:rPr>
                <w:bCs/>
              </w:rPr>
              <w:t>Recorded</w:t>
            </w:r>
          </w:p>
        </w:tc>
        <w:tc>
          <w:tcPr>
            <w:tcW w:w="1017" w:type="dxa"/>
            <w:noWrap/>
            <w:hideMark/>
          </w:tcPr>
          <w:p w:rsidR="002F0E06" w:rsidRPr="002F0E06" w:rsidRDefault="002F0E06" w:rsidP="002F0E06">
            <w:pPr>
              <w:rPr>
                <w:bCs/>
              </w:rPr>
            </w:pPr>
            <w:r w:rsidRPr="002F0E06">
              <w:rPr>
                <w:bCs/>
              </w:rPr>
              <w:t>28578</w:t>
            </w:r>
          </w:p>
        </w:tc>
        <w:tc>
          <w:tcPr>
            <w:tcW w:w="884" w:type="dxa"/>
            <w:noWrap/>
            <w:hideMark/>
          </w:tcPr>
          <w:p w:rsidR="002F0E06" w:rsidRPr="002F0E06" w:rsidRDefault="002F0E06" w:rsidP="002F0E06">
            <w:pPr>
              <w:rPr>
                <w:bCs/>
              </w:rPr>
            </w:pPr>
            <w:r w:rsidRPr="002F0E06">
              <w:rPr>
                <w:bCs/>
              </w:rPr>
              <w:t>36767</w:t>
            </w:r>
          </w:p>
        </w:tc>
        <w:tc>
          <w:tcPr>
            <w:tcW w:w="884" w:type="dxa"/>
            <w:noWrap/>
            <w:hideMark/>
          </w:tcPr>
          <w:p w:rsidR="002F0E06" w:rsidRPr="002F0E06" w:rsidRDefault="002F0E06" w:rsidP="002F0E06">
            <w:pPr>
              <w:rPr>
                <w:bCs/>
              </w:rPr>
            </w:pPr>
            <w:r w:rsidRPr="002F0E06">
              <w:rPr>
                <w:bCs/>
              </w:rPr>
              <w:t>34691</w:t>
            </w:r>
          </w:p>
        </w:tc>
        <w:tc>
          <w:tcPr>
            <w:tcW w:w="884" w:type="dxa"/>
            <w:noWrap/>
            <w:hideMark/>
          </w:tcPr>
          <w:p w:rsidR="002F0E06" w:rsidRPr="002F0E06" w:rsidRDefault="002F0E06" w:rsidP="002F0E06">
            <w:pPr>
              <w:rPr>
                <w:bCs/>
              </w:rPr>
            </w:pPr>
            <w:r w:rsidRPr="002F0E06">
              <w:rPr>
                <w:bCs/>
              </w:rPr>
              <w:t>37016</w:t>
            </w:r>
          </w:p>
        </w:tc>
        <w:tc>
          <w:tcPr>
            <w:tcW w:w="884" w:type="dxa"/>
            <w:noWrap/>
            <w:hideMark/>
          </w:tcPr>
          <w:p w:rsidR="002F0E06" w:rsidRPr="002F0E06" w:rsidRDefault="002F0E06" w:rsidP="002F0E06">
            <w:pPr>
              <w:rPr>
                <w:bCs/>
              </w:rPr>
            </w:pPr>
            <w:r w:rsidRPr="002F0E06">
              <w:rPr>
                <w:bCs/>
              </w:rPr>
              <w:t>35624</w:t>
            </w:r>
          </w:p>
        </w:tc>
        <w:tc>
          <w:tcPr>
            <w:tcW w:w="884" w:type="dxa"/>
            <w:noWrap/>
            <w:hideMark/>
          </w:tcPr>
          <w:p w:rsidR="002F0E06" w:rsidRPr="002F0E06" w:rsidRDefault="002F0E06" w:rsidP="002F0E06">
            <w:pPr>
              <w:rPr>
                <w:bCs/>
              </w:rPr>
            </w:pPr>
            <w:r w:rsidRPr="002F0E06">
              <w:rPr>
                <w:bCs/>
              </w:rPr>
              <w:t>39891</w:t>
            </w:r>
          </w:p>
        </w:tc>
        <w:tc>
          <w:tcPr>
            <w:tcW w:w="884" w:type="dxa"/>
            <w:noWrap/>
            <w:hideMark/>
          </w:tcPr>
          <w:p w:rsidR="002F0E06" w:rsidRPr="002F0E06" w:rsidRDefault="002F0E06" w:rsidP="002F0E06">
            <w:pPr>
              <w:rPr>
                <w:bCs/>
              </w:rPr>
            </w:pPr>
            <w:r w:rsidRPr="002F0E06">
              <w:rPr>
                <w:bCs/>
              </w:rPr>
              <w:t>41328</w:t>
            </w:r>
          </w:p>
        </w:tc>
        <w:tc>
          <w:tcPr>
            <w:tcW w:w="884" w:type="dxa"/>
            <w:noWrap/>
            <w:hideMark/>
          </w:tcPr>
          <w:p w:rsidR="002F0E06" w:rsidRPr="002F0E06" w:rsidRDefault="002F0E06" w:rsidP="002F0E06">
            <w:pPr>
              <w:rPr>
                <w:bCs/>
              </w:rPr>
            </w:pPr>
            <w:r w:rsidRPr="002F0E06">
              <w:rPr>
                <w:bCs/>
              </w:rPr>
              <w:t>40800</w:t>
            </w:r>
          </w:p>
        </w:tc>
        <w:tc>
          <w:tcPr>
            <w:tcW w:w="884" w:type="dxa"/>
            <w:noWrap/>
            <w:hideMark/>
          </w:tcPr>
          <w:p w:rsidR="002F0E06" w:rsidRPr="002F0E06" w:rsidRDefault="002F0E06" w:rsidP="002F0E06">
            <w:pPr>
              <w:rPr>
                <w:bCs/>
              </w:rPr>
            </w:pPr>
            <w:r w:rsidRPr="002F0E06">
              <w:rPr>
                <w:bCs/>
              </w:rPr>
              <w:t>39103</w:t>
            </w:r>
          </w:p>
        </w:tc>
        <w:tc>
          <w:tcPr>
            <w:tcW w:w="844" w:type="dxa"/>
            <w:noWrap/>
            <w:hideMark/>
          </w:tcPr>
          <w:p w:rsidR="002F0E06" w:rsidRPr="002F0E06" w:rsidRDefault="002F0E06" w:rsidP="002F0E06">
            <w:pPr>
              <w:rPr>
                <w:bCs/>
              </w:rPr>
            </w:pPr>
            <w:r w:rsidRPr="002F0E06">
              <w:rPr>
                <w:bCs/>
              </w:rPr>
              <w:t>8815</w:t>
            </w:r>
          </w:p>
        </w:tc>
      </w:tr>
      <w:tr w:rsidR="002F0E06" w:rsidRPr="002F0E06" w:rsidTr="002F0E06">
        <w:trPr>
          <w:trHeight w:val="300"/>
        </w:trPr>
        <w:tc>
          <w:tcPr>
            <w:tcW w:w="1408" w:type="dxa"/>
            <w:noWrap/>
            <w:hideMark/>
          </w:tcPr>
          <w:p w:rsidR="002F0E06" w:rsidRPr="002F0E06" w:rsidRDefault="002F0E06">
            <w:r w:rsidRPr="002F0E06">
              <w:t>Detected</w:t>
            </w:r>
          </w:p>
        </w:tc>
        <w:tc>
          <w:tcPr>
            <w:tcW w:w="1017" w:type="dxa"/>
            <w:noWrap/>
            <w:hideMark/>
          </w:tcPr>
          <w:p w:rsidR="002F0E06" w:rsidRPr="002F0E06" w:rsidRDefault="002F0E06" w:rsidP="002F0E06">
            <w:pPr>
              <w:rPr>
                <w:bCs/>
              </w:rPr>
            </w:pPr>
            <w:r w:rsidRPr="002F0E06">
              <w:rPr>
                <w:bCs/>
              </w:rPr>
              <w:t>22948</w:t>
            </w:r>
          </w:p>
        </w:tc>
        <w:tc>
          <w:tcPr>
            <w:tcW w:w="884" w:type="dxa"/>
            <w:noWrap/>
            <w:hideMark/>
          </w:tcPr>
          <w:p w:rsidR="002F0E06" w:rsidRPr="002F0E06" w:rsidRDefault="002F0E06" w:rsidP="002F0E06">
            <w:pPr>
              <w:rPr>
                <w:bCs/>
              </w:rPr>
            </w:pPr>
            <w:r w:rsidRPr="002F0E06">
              <w:rPr>
                <w:bCs/>
              </w:rPr>
              <w:t>29974</w:t>
            </w:r>
          </w:p>
        </w:tc>
        <w:tc>
          <w:tcPr>
            <w:tcW w:w="884" w:type="dxa"/>
            <w:noWrap/>
            <w:hideMark/>
          </w:tcPr>
          <w:p w:rsidR="002F0E06" w:rsidRPr="002F0E06" w:rsidRDefault="002F0E06" w:rsidP="002F0E06">
            <w:pPr>
              <w:rPr>
                <w:bCs/>
              </w:rPr>
            </w:pPr>
            <w:r w:rsidRPr="002F0E06">
              <w:rPr>
                <w:bCs/>
              </w:rPr>
              <w:t>26259</w:t>
            </w:r>
          </w:p>
        </w:tc>
        <w:tc>
          <w:tcPr>
            <w:tcW w:w="884" w:type="dxa"/>
            <w:noWrap/>
            <w:hideMark/>
          </w:tcPr>
          <w:p w:rsidR="002F0E06" w:rsidRPr="002F0E06" w:rsidRDefault="002F0E06" w:rsidP="002F0E06">
            <w:pPr>
              <w:rPr>
                <w:bCs/>
              </w:rPr>
            </w:pPr>
            <w:r w:rsidRPr="002F0E06">
              <w:rPr>
                <w:bCs/>
              </w:rPr>
              <w:t>26452</w:t>
            </w:r>
          </w:p>
        </w:tc>
        <w:tc>
          <w:tcPr>
            <w:tcW w:w="884" w:type="dxa"/>
            <w:noWrap/>
            <w:hideMark/>
          </w:tcPr>
          <w:p w:rsidR="002F0E06" w:rsidRPr="002F0E06" w:rsidRDefault="002F0E06" w:rsidP="002F0E06">
            <w:pPr>
              <w:rPr>
                <w:bCs/>
              </w:rPr>
            </w:pPr>
            <w:r w:rsidRPr="002F0E06">
              <w:rPr>
                <w:bCs/>
              </w:rPr>
              <w:t>24289</w:t>
            </w:r>
          </w:p>
        </w:tc>
        <w:tc>
          <w:tcPr>
            <w:tcW w:w="884" w:type="dxa"/>
            <w:noWrap/>
            <w:hideMark/>
          </w:tcPr>
          <w:p w:rsidR="002F0E06" w:rsidRPr="002F0E06" w:rsidRDefault="002F0E06" w:rsidP="002F0E06">
            <w:pPr>
              <w:rPr>
                <w:bCs/>
              </w:rPr>
            </w:pPr>
            <w:r w:rsidRPr="002F0E06">
              <w:rPr>
                <w:bCs/>
              </w:rPr>
              <w:t>26634</w:t>
            </w:r>
          </w:p>
        </w:tc>
        <w:tc>
          <w:tcPr>
            <w:tcW w:w="884" w:type="dxa"/>
            <w:noWrap/>
            <w:hideMark/>
          </w:tcPr>
          <w:p w:rsidR="002F0E06" w:rsidRPr="002F0E06" w:rsidRDefault="002F0E06" w:rsidP="002F0E06">
            <w:pPr>
              <w:rPr>
                <w:bCs/>
              </w:rPr>
            </w:pPr>
            <w:r w:rsidRPr="002F0E06">
              <w:rPr>
                <w:bCs/>
              </w:rPr>
              <w:t>28584</w:t>
            </w:r>
          </w:p>
        </w:tc>
        <w:tc>
          <w:tcPr>
            <w:tcW w:w="884" w:type="dxa"/>
            <w:noWrap/>
            <w:hideMark/>
          </w:tcPr>
          <w:p w:rsidR="002F0E06" w:rsidRPr="002F0E06" w:rsidRDefault="002F0E06" w:rsidP="002F0E06">
            <w:pPr>
              <w:rPr>
                <w:bCs/>
              </w:rPr>
            </w:pPr>
            <w:r w:rsidRPr="002F0E06">
              <w:rPr>
                <w:bCs/>
              </w:rPr>
              <w:t>27619</w:t>
            </w:r>
          </w:p>
        </w:tc>
        <w:tc>
          <w:tcPr>
            <w:tcW w:w="884" w:type="dxa"/>
            <w:noWrap/>
            <w:hideMark/>
          </w:tcPr>
          <w:p w:rsidR="002F0E06" w:rsidRPr="002F0E06" w:rsidRDefault="002F0E06" w:rsidP="002F0E06">
            <w:pPr>
              <w:rPr>
                <w:bCs/>
              </w:rPr>
            </w:pPr>
            <w:r w:rsidRPr="002F0E06">
              <w:rPr>
                <w:bCs/>
              </w:rPr>
              <w:t>25792</w:t>
            </w:r>
          </w:p>
        </w:tc>
        <w:tc>
          <w:tcPr>
            <w:tcW w:w="844" w:type="dxa"/>
            <w:noWrap/>
            <w:hideMark/>
          </w:tcPr>
          <w:p w:rsidR="002F0E06" w:rsidRPr="002F0E06" w:rsidRDefault="002F0E06" w:rsidP="002F0E06">
            <w:pPr>
              <w:rPr>
                <w:bCs/>
              </w:rPr>
            </w:pPr>
            <w:r w:rsidRPr="002F0E06">
              <w:rPr>
                <w:bCs/>
              </w:rPr>
              <w:t>5443</w:t>
            </w:r>
          </w:p>
        </w:tc>
      </w:tr>
    </w:tbl>
    <w:p w:rsidR="000C7BC5" w:rsidRPr="000C7BC5" w:rsidRDefault="002F0E06" w:rsidP="002F0E06">
      <w:r>
        <w:t xml:space="preserve">All statistics are provisional and should be treated as management information. </w:t>
      </w:r>
      <w:r w:rsidR="00BE190A">
        <w:t>*</w:t>
      </w:r>
      <w:r>
        <w:t>All data have been extracted from Police Scotland internal systems and are correct as at 11/04/2023.</w:t>
      </w:r>
      <w:r>
        <w:tab/>
      </w:r>
      <w:bookmarkStart w:id="0" w:name="_GoBack"/>
      <w:bookmarkEnd w:id="0"/>
    </w:p>
    <w:p w:rsidR="000C7BC5" w:rsidRPr="000C7BC5" w:rsidRDefault="000C7BC5" w:rsidP="000C7BC5">
      <w:pPr>
        <w:jc w:val="both"/>
        <w:rPr>
          <w:iCs/>
        </w:rPr>
      </w:pPr>
      <w:r w:rsidRPr="000C7BC5">
        <w:rPr>
          <w:iCs/>
        </w:rPr>
        <w:t xml:space="preserve">The interim Vulnerable Persons Database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w:t>
      </w:r>
      <w:hyperlink r:id="rId10" w:history="1">
        <w:r w:rsidR="00AD2239" w:rsidRPr="00AD2239">
          <w:rPr>
            <w:color w:val="0000FF"/>
            <w:u w:val="single"/>
          </w:rPr>
          <w:t>Victims and Witnesses (Scotland) Act 2014 (legislation.gov.uk)</w:t>
        </w:r>
      </w:hyperlink>
      <w:r w:rsidRPr="000C7BC5">
        <w:rPr>
          <w:iCs/>
        </w:rPr>
        <w:t xml:space="preserve">. </w:t>
      </w:r>
    </w:p>
    <w:p w:rsidR="000C7BC5" w:rsidRPr="000C7BC5" w:rsidRDefault="000C7BC5" w:rsidP="000C7BC5">
      <w:pPr>
        <w:jc w:val="both"/>
        <w:rPr>
          <w:iCs/>
        </w:rPr>
      </w:pPr>
      <w:r w:rsidRPr="000C7BC5">
        <w:rPr>
          <w:iCs/>
        </w:rPr>
        <w:t>Contact is recorded as a Concern Report on the iVPD and Police Scotland record a concern report in relation to all incidents of domestic abuse.  The domestic abuse statistics are obtained from the iVPD.</w:t>
      </w:r>
    </w:p>
    <w:p w:rsidR="000C7BC5" w:rsidRPr="000C7BC5" w:rsidRDefault="000C7BC5" w:rsidP="000C7BC5">
      <w:pPr>
        <w:jc w:val="both"/>
        <w:rPr>
          <w:iCs/>
        </w:rPr>
      </w:pPr>
      <w:r w:rsidRPr="000C7BC5">
        <w:rPr>
          <w:iCs/>
        </w:rPr>
        <w:t>Where criminality is identified, crimes are then linked to the relevant concern report.  Within the iVPD database, although a victim is only counted once for each concern report that they are recorded in, they may be linked to more than one crime within that iVPD concern report.</w:t>
      </w:r>
    </w:p>
    <w:p w:rsidR="000C7BC5" w:rsidRPr="000C7BC5" w:rsidRDefault="000C7BC5" w:rsidP="000C7BC5">
      <w:pPr>
        <w:rPr>
          <w:iCs/>
        </w:rPr>
      </w:pPr>
      <w:r w:rsidRPr="000C7BC5">
        <w:rPr>
          <w:iCs/>
        </w:rPr>
        <w:t>The iVPD is a dynamic database which is constantly being updated and changed.</w:t>
      </w:r>
    </w:p>
    <w:p w:rsidR="00FC6937" w:rsidRDefault="002F0E06" w:rsidP="002F0E06">
      <w:r>
        <w:t>The data was extracted using the crime's raised date.</w:t>
      </w:r>
    </w:p>
    <w:p w:rsidR="00FC6937" w:rsidRDefault="00FC6937" w:rsidP="002F0E06">
      <w:r>
        <w:t xml:space="preserve"> </w:t>
      </w:r>
      <w:r w:rsidR="002F0E06">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rsidR="002F0E06" w:rsidRPr="002F0E06" w:rsidRDefault="00FC6937" w:rsidP="002F0E06">
      <w:r>
        <w:lastRenderedPageBreak/>
        <w:t xml:space="preserve"> </w:t>
      </w:r>
      <w:r w:rsidR="002F0E06">
        <w:t>Please note that these data are collated from the Police Scotland iVPD system, which has an automated weeding and retention policy built on to it. A copy of the retention policy is available on the Police Scotland internet site (</w:t>
      </w:r>
      <w:hyperlink r:id="rId11" w:history="1">
        <w:r w:rsidR="002F0E06">
          <w:rPr>
            <w:color w:val="0000FF"/>
            <w:u w:val="single"/>
          </w:rPr>
          <w:t>Records Retention - Standard Operating Procedure (SOP)</w:t>
        </w:r>
      </w:hyperlink>
      <w:r>
        <w:t>).</w:t>
      </w:r>
    </w:p>
    <w:p w:rsidR="002F0E06" w:rsidRPr="002F0E06" w:rsidRDefault="002F0E06" w:rsidP="002F0E06">
      <w:pPr>
        <w:tabs>
          <w:tab w:val="left" w:pos="5400"/>
        </w:tabs>
        <w:rPr>
          <w:rFonts w:eastAsiaTheme="majorEastAsia" w:cstheme="majorBidi"/>
          <w:b/>
          <w:color w:val="000000" w:themeColor="text1"/>
          <w:szCs w:val="26"/>
        </w:rPr>
      </w:pPr>
      <w:r w:rsidRPr="002F0E06">
        <w:rPr>
          <w:rFonts w:eastAsiaTheme="majorEastAsia" w:cstheme="majorBidi"/>
          <w:b/>
          <w:color w:val="000000" w:themeColor="text1"/>
          <w:szCs w:val="26"/>
        </w:rPr>
        <w:t>How many victims were involved in the cases outlined in the previous question, each year for the past ten years?</w:t>
      </w:r>
    </w:p>
    <w:p w:rsidR="002F0E06" w:rsidRPr="002F0E06" w:rsidRDefault="002F0E06" w:rsidP="002F0E06">
      <w:pPr>
        <w:tabs>
          <w:tab w:val="left" w:pos="5400"/>
        </w:tabs>
        <w:rPr>
          <w:rFonts w:eastAsiaTheme="majorEastAsia" w:cstheme="majorBidi"/>
          <w:b/>
          <w:color w:val="000000" w:themeColor="text1"/>
          <w:szCs w:val="26"/>
        </w:rPr>
      </w:pPr>
      <w:r w:rsidRPr="002F0E06">
        <w:rPr>
          <w:rFonts w:eastAsiaTheme="majorEastAsia" w:cstheme="majorBidi"/>
          <w:b/>
          <w:color w:val="000000" w:themeColor="text1"/>
          <w:szCs w:val="26"/>
        </w:rPr>
        <w:t>In how many cases of suspected domestic abuse did the victim(s) withdraw cooperation before the case progressed to the point where charges were made, each year for the past ten years?</w:t>
      </w:r>
    </w:p>
    <w:p w:rsidR="002F0E06" w:rsidRPr="002F0E06" w:rsidRDefault="002F0E06" w:rsidP="002F0E06">
      <w:pPr>
        <w:tabs>
          <w:tab w:val="left" w:pos="5400"/>
        </w:tabs>
        <w:rPr>
          <w:rFonts w:eastAsiaTheme="majorEastAsia" w:cstheme="majorBidi"/>
          <w:b/>
          <w:color w:val="000000" w:themeColor="text1"/>
          <w:szCs w:val="26"/>
        </w:rPr>
      </w:pPr>
      <w:r w:rsidRPr="002F0E06">
        <w:rPr>
          <w:rFonts w:eastAsiaTheme="majorEastAsia" w:cstheme="majorBidi"/>
          <w:b/>
          <w:color w:val="000000" w:themeColor="text1"/>
          <w:szCs w:val="26"/>
        </w:rPr>
        <w:t>In how many cases were police investigations unabl</w:t>
      </w:r>
      <w:r w:rsidR="00BE190A">
        <w:rPr>
          <w:rFonts w:eastAsiaTheme="majorEastAsia" w:cstheme="majorBidi"/>
          <w:b/>
          <w:color w:val="000000" w:themeColor="text1"/>
          <w:szCs w:val="26"/>
        </w:rPr>
        <w:t>e to proceed because the victim</w:t>
      </w:r>
      <w:r w:rsidRPr="002F0E06">
        <w:rPr>
          <w:rFonts w:eastAsiaTheme="majorEastAsia" w:cstheme="majorBidi"/>
          <w:b/>
          <w:color w:val="000000" w:themeColor="text1"/>
          <w:szCs w:val="26"/>
        </w:rPr>
        <w:t>(s) withdrew cooperation, each year for the past ten years?</w:t>
      </w:r>
    </w:p>
    <w:p w:rsidR="002F0E06" w:rsidRDefault="002F0E06" w:rsidP="002F0E06">
      <w:pPr>
        <w:tabs>
          <w:tab w:val="left" w:pos="5400"/>
        </w:tabs>
        <w:rPr>
          <w:rFonts w:eastAsiaTheme="majorEastAsia" w:cstheme="majorBidi"/>
          <w:b/>
          <w:color w:val="000000" w:themeColor="text1"/>
          <w:szCs w:val="26"/>
        </w:rPr>
      </w:pPr>
      <w:r w:rsidRPr="002F0E06">
        <w:rPr>
          <w:rFonts w:eastAsiaTheme="majorEastAsia" w:cstheme="majorBidi"/>
          <w:b/>
          <w:color w:val="000000" w:themeColor="text1"/>
          <w:szCs w:val="26"/>
        </w:rPr>
        <w:t>How many victims were involved in cases of suspected domestic abuse sent to COPFS for possible charges, each year for the past ten years?</w:t>
      </w:r>
    </w:p>
    <w:p w:rsidR="002F0E06" w:rsidRDefault="00231AAF" w:rsidP="002F0E06">
      <w:pPr>
        <w:tabs>
          <w:tab w:val="left" w:pos="5400"/>
        </w:tabs>
      </w:pPr>
      <w:r>
        <w:t>In regards to your other 4</w:t>
      </w:r>
      <w:r w:rsidR="002F0E06">
        <w:t xml:space="preserve"> questions I regret to inform you that I am unable to provide you with the information you have requested, as it would prove too costly to do so within the context of the fee regulations.</w:t>
      </w:r>
    </w:p>
    <w:p w:rsidR="002F0E06" w:rsidRDefault="002F0E06" w:rsidP="002F0E06">
      <w:pPr>
        <w:tabs>
          <w:tab w:val="left" w:pos="5400"/>
        </w:tabs>
      </w:pPr>
      <w:r>
        <w:t>As you may be aware the current cost threshold is £600 and I estimate that it would cost well in excess of this amount to process your request.</w:t>
      </w:r>
    </w:p>
    <w:p w:rsidR="002F0E06" w:rsidRDefault="002F0E06" w:rsidP="002F0E06">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2F0E06" w:rsidRDefault="002F0E06" w:rsidP="002F0E06">
      <w:pPr>
        <w:tabs>
          <w:tab w:val="left" w:pos="5400"/>
        </w:tabs>
      </w:pPr>
      <w:r>
        <w:t>By way of explanation, there is no way in with</w:t>
      </w:r>
      <w:r w:rsidR="00BE190A">
        <w:t xml:space="preserve"> we can automatically retrieve </w:t>
      </w:r>
      <w:r>
        <w:t>the information you have requested and so a manual review of each relevant crime would be required.  As you can see from the figures in question 1, Police Scotland record</w:t>
      </w:r>
      <w:r w:rsidR="00BE190A">
        <w:t>ed</w:t>
      </w:r>
      <w:r>
        <w:t xml:space="preserve"> over 20,000 such crimes each year and so this manual review would take a large amount of time to do.</w:t>
      </w:r>
    </w:p>
    <w:p w:rsidR="002F0E06" w:rsidRDefault="002F0E06" w:rsidP="002F0E06">
      <w:pPr>
        <w:tabs>
          <w:tab w:val="left" w:pos="5400"/>
        </w:tabs>
      </w:pPr>
      <w:r>
        <w:t>In this case if we look at recorded crimes, 342,613 crimes would need to be manually checked.  At a conservative estimate of 5 minutes per record, this equates to over 28,551 hours of work to provide the information requested.</w:t>
      </w:r>
    </w:p>
    <w:p w:rsidR="00BF6B81" w:rsidRDefault="002F0E06" w:rsidP="002F0E06">
      <w:pPr>
        <w:tabs>
          <w:tab w:val="left" w:pos="5400"/>
        </w:tabs>
      </w:pPr>
      <w:r>
        <w:t>Police Scotland have assessed that the £600 cost limit within the Act equates to 40 hours of work and so this part of your request would breach the cost threshold.</w:t>
      </w:r>
    </w:p>
    <w:p w:rsidR="002F0E06" w:rsidRPr="00B11A55" w:rsidRDefault="002F0E06" w:rsidP="002F0E06">
      <w:pPr>
        <w:tabs>
          <w:tab w:val="left" w:pos="5400"/>
        </w:tabs>
      </w:pPr>
      <w:r>
        <w:lastRenderedPageBreak/>
        <w:t>W</w:t>
      </w:r>
      <w:r w:rsidR="00AD2239">
        <w:t>hilst I would normally suggest</w:t>
      </w:r>
      <w:r>
        <w:t xml:space="preserve"> a reduced timescale is considered, in this case even a single year would vastly exceed the cost threshold under the Act and as such I do not believe there is a way to complete your request within cost, even if refined.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AB" w:rsidRDefault="001F60AB" w:rsidP="00491644">
      <w:r>
        <w:separator/>
      </w:r>
    </w:p>
  </w:endnote>
  <w:endnote w:type="continuationSeparator" w:id="0">
    <w:p w:rsidR="001F60AB" w:rsidRDefault="001F60AB"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9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9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9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AB" w:rsidRDefault="001F60AB" w:rsidP="00491644">
      <w:r>
        <w:separator/>
      </w:r>
    </w:p>
  </w:footnote>
  <w:footnote w:type="continuationSeparator" w:id="0">
    <w:p w:rsidR="001F60AB" w:rsidRDefault="001F60AB"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93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93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693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2C6D"/>
    <w:multiLevelType w:val="hybridMultilevel"/>
    <w:tmpl w:val="1F8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160EC"/>
    <w:multiLevelType w:val="hybridMultilevel"/>
    <w:tmpl w:val="7BBE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C7BC5"/>
    <w:rsid w:val="000E6526"/>
    <w:rsid w:val="00141533"/>
    <w:rsid w:val="00167528"/>
    <w:rsid w:val="00195CC4"/>
    <w:rsid w:val="001F60AB"/>
    <w:rsid w:val="00231AAF"/>
    <w:rsid w:val="00253DF6"/>
    <w:rsid w:val="00255F1E"/>
    <w:rsid w:val="002F0E06"/>
    <w:rsid w:val="0036503B"/>
    <w:rsid w:val="003D6D03"/>
    <w:rsid w:val="003E12CA"/>
    <w:rsid w:val="004010DC"/>
    <w:rsid w:val="004341F0"/>
    <w:rsid w:val="00456324"/>
    <w:rsid w:val="00475460"/>
    <w:rsid w:val="00490317"/>
    <w:rsid w:val="00491644"/>
    <w:rsid w:val="00496A08"/>
    <w:rsid w:val="004E1605"/>
    <w:rsid w:val="004F653C"/>
    <w:rsid w:val="00523C3B"/>
    <w:rsid w:val="00540A52"/>
    <w:rsid w:val="00557306"/>
    <w:rsid w:val="006D5799"/>
    <w:rsid w:val="00750D83"/>
    <w:rsid w:val="00756DAC"/>
    <w:rsid w:val="00793DD5"/>
    <w:rsid w:val="007D55F6"/>
    <w:rsid w:val="007F490F"/>
    <w:rsid w:val="0086779C"/>
    <w:rsid w:val="00874BFD"/>
    <w:rsid w:val="008964EF"/>
    <w:rsid w:val="009631A4"/>
    <w:rsid w:val="00977296"/>
    <w:rsid w:val="00A25E93"/>
    <w:rsid w:val="00A320FF"/>
    <w:rsid w:val="00A70AC0"/>
    <w:rsid w:val="00A84EA9"/>
    <w:rsid w:val="00AC443C"/>
    <w:rsid w:val="00AD2239"/>
    <w:rsid w:val="00B11A55"/>
    <w:rsid w:val="00B17211"/>
    <w:rsid w:val="00B461B2"/>
    <w:rsid w:val="00B71B3C"/>
    <w:rsid w:val="00BC389E"/>
    <w:rsid w:val="00BE1888"/>
    <w:rsid w:val="00BE190A"/>
    <w:rsid w:val="00BF6B81"/>
    <w:rsid w:val="00C077A8"/>
    <w:rsid w:val="00C606A2"/>
    <w:rsid w:val="00C63872"/>
    <w:rsid w:val="00C84948"/>
    <w:rsid w:val="00CF1111"/>
    <w:rsid w:val="00D05706"/>
    <w:rsid w:val="00D27DC5"/>
    <w:rsid w:val="00D47E36"/>
    <w:rsid w:val="00E55D79"/>
    <w:rsid w:val="00EF4761"/>
    <w:rsid w:val="00F130A1"/>
    <w:rsid w:val="00F53418"/>
    <w:rsid w:val="00FC2DA7"/>
    <w:rsid w:val="00FC693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2F0E06"/>
    <w:rPr>
      <w:color w:val="954F72" w:themeColor="followedHyperlink"/>
      <w:u w:val="single"/>
    </w:rPr>
  </w:style>
  <w:style w:type="character" w:styleId="CommentReference">
    <w:name w:val="annotation reference"/>
    <w:basedOn w:val="DefaultParagraphFont"/>
    <w:uiPriority w:val="99"/>
    <w:semiHidden/>
    <w:unhideWhenUsed/>
    <w:rsid w:val="00F53418"/>
    <w:rPr>
      <w:sz w:val="16"/>
      <w:szCs w:val="16"/>
    </w:rPr>
  </w:style>
  <w:style w:type="paragraph" w:styleId="CommentText">
    <w:name w:val="annotation text"/>
    <w:basedOn w:val="Normal"/>
    <w:link w:val="CommentTextChar"/>
    <w:uiPriority w:val="99"/>
    <w:semiHidden/>
    <w:unhideWhenUsed/>
    <w:rsid w:val="00F53418"/>
    <w:pPr>
      <w:spacing w:line="240" w:lineRule="auto"/>
    </w:pPr>
    <w:rPr>
      <w:sz w:val="20"/>
      <w:szCs w:val="20"/>
    </w:rPr>
  </w:style>
  <w:style w:type="character" w:customStyle="1" w:styleId="CommentTextChar">
    <w:name w:val="Comment Text Char"/>
    <w:basedOn w:val="DefaultParagraphFont"/>
    <w:link w:val="CommentText"/>
    <w:uiPriority w:val="99"/>
    <w:semiHidden/>
    <w:rsid w:val="00F53418"/>
    <w:rPr>
      <w:sz w:val="20"/>
      <w:szCs w:val="20"/>
    </w:rPr>
  </w:style>
  <w:style w:type="paragraph" w:styleId="CommentSubject">
    <w:name w:val="annotation subject"/>
    <w:basedOn w:val="CommentText"/>
    <w:next w:val="CommentText"/>
    <w:link w:val="CommentSubjectChar"/>
    <w:uiPriority w:val="99"/>
    <w:semiHidden/>
    <w:unhideWhenUsed/>
    <w:rsid w:val="00F53418"/>
    <w:rPr>
      <w:b/>
      <w:bCs/>
    </w:rPr>
  </w:style>
  <w:style w:type="character" w:customStyle="1" w:styleId="CommentSubjectChar">
    <w:name w:val="Comment Subject Char"/>
    <w:basedOn w:val="CommentTextChar"/>
    <w:link w:val="CommentSubject"/>
    <w:uiPriority w:val="99"/>
    <w:semiHidden/>
    <w:rsid w:val="00F53418"/>
    <w:rPr>
      <w:b/>
      <w:bCs/>
      <w:sz w:val="20"/>
      <w:szCs w:val="20"/>
    </w:rPr>
  </w:style>
  <w:style w:type="paragraph" w:styleId="BalloonText">
    <w:name w:val="Balloon Text"/>
    <w:basedOn w:val="Normal"/>
    <w:link w:val="BalloonTextChar"/>
    <w:uiPriority w:val="99"/>
    <w:semiHidden/>
    <w:unhideWhenUsed/>
    <w:rsid w:val="00F5341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142910">
      <w:bodyDiv w:val="1"/>
      <w:marLeft w:val="0"/>
      <w:marRight w:val="0"/>
      <w:marTop w:val="0"/>
      <w:marBottom w:val="0"/>
      <w:divBdr>
        <w:top w:val="none" w:sz="0" w:space="0" w:color="auto"/>
        <w:left w:val="none" w:sz="0" w:space="0" w:color="auto"/>
        <w:bottom w:val="none" w:sz="0" w:space="0" w:color="auto"/>
        <w:right w:val="none" w:sz="0" w:space="0" w:color="auto"/>
      </w:divBdr>
    </w:div>
    <w:div w:id="1102066520">
      <w:bodyDiv w:val="1"/>
      <w:marLeft w:val="0"/>
      <w:marRight w:val="0"/>
      <w:marTop w:val="0"/>
      <w:marBottom w:val="0"/>
      <w:divBdr>
        <w:top w:val="none" w:sz="0" w:space="0" w:color="auto"/>
        <w:left w:val="none" w:sz="0" w:space="0" w:color="auto"/>
        <w:bottom w:val="none" w:sz="0" w:space="0" w:color="auto"/>
        <w:right w:val="none" w:sz="0" w:space="0" w:color="auto"/>
      </w:divBdr>
    </w:div>
    <w:div w:id="1165590262">
      <w:bodyDiv w:val="1"/>
      <w:marLeft w:val="0"/>
      <w:marRight w:val="0"/>
      <w:marTop w:val="0"/>
      <w:marBottom w:val="0"/>
      <w:divBdr>
        <w:top w:val="none" w:sz="0" w:space="0" w:color="auto"/>
        <w:left w:val="none" w:sz="0" w:space="0" w:color="auto"/>
        <w:bottom w:val="none" w:sz="0" w:space="0" w:color="auto"/>
        <w:right w:val="none" w:sz="0" w:space="0" w:color="auto"/>
      </w:divBdr>
    </w:div>
    <w:div w:id="1183057256">
      <w:bodyDiv w:val="1"/>
      <w:marLeft w:val="0"/>
      <w:marRight w:val="0"/>
      <w:marTop w:val="0"/>
      <w:marBottom w:val="0"/>
      <w:divBdr>
        <w:top w:val="none" w:sz="0" w:space="0" w:color="auto"/>
        <w:left w:val="none" w:sz="0" w:space="0" w:color="auto"/>
        <w:bottom w:val="none" w:sz="0" w:space="0" w:color="auto"/>
        <w:right w:val="none" w:sz="0" w:space="0" w:color="auto"/>
      </w:divBdr>
    </w:div>
    <w:div w:id="20472899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nhobty5i/record-retention-sop.pdf"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legislation.gov.uk/asp/2014/1/contents/enacte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1195</Words>
  <Characters>6815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2023-05-01T06:46:00Z</dcterms:created>
  <dcterms:modified xsi:type="dcterms:W3CDTF">2023-05-01T06:47:00Z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