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2EEC48" w:rsidR="00B17211" w:rsidRPr="00B17211" w:rsidRDefault="00B17211" w:rsidP="007F490F">
            <w:r w:rsidRPr="007F490F">
              <w:rPr>
                <w:rStyle w:val="Heading2Char"/>
              </w:rPr>
              <w:t>Our reference:</w:t>
            </w:r>
            <w:r>
              <w:t xml:space="preserve">  FOI 2</w:t>
            </w:r>
            <w:r w:rsidR="00EF0FBB">
              <w:t>5</w:t>
            </w:r>
            <w:r>
              <w:t>-</w:t>
            </w:r>
            <w:r w:rsidR="00623180">
              <w:t>1059</w:t>
            </w:r>
          </w:p>
          <w:p w14:paraId="34BDABA6" w14:textId="292336BD" w:rsidR="00B17211" w:rsidRDefault="00456324" w:rsidP="00EE2373">
            <w:r w:rsidRPr="007F490F">
              <w:rPr>
                <w:rStyle w:val="Heading2Char"/>
              </w:rPr>
              <w:t>Respon</w:t>
            </w:r>
            <w:r w:rsidR="007D55F6">
              <w:rPr>
                <w:rStyle w:val="Heading2Char"/>
              </w:rPr>
              <w:t>ded to:</w:t>
            </w:r>
            <w:r w:rsidR="007F490F">
              <w:t xml:space="preserve">  </w:t>
            </w:r>
            <w:r w:rsidR="000E23EB">
              <w:t>02 May</w:t>
            </w:r>
            <w:r w:rsidR="00623180">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E875077" w14:textId="77777777" w:rsidR="00623180" w:rsidRDefault="00623180" w:rsidP="00623180">
      <w:pPr>
        <w:pStyle w:val="Heading2"/>
      </w:pPr>
      <w:r w:rsidRPr="00623180">
        <w:t>How much has Police Scotland paid to the family of Sheku Bayoh for the out of court settlement which was announced on March 24, 2025?</w:t>
      </w:r>
    </w:p>
    <w:p w14:paraId="2BCA5421" w14:textId="69749CA5" w:rsidR="009B27B8" w:rsidRPr="009B27B8" w:rsidRDefault="009B27B8" w:rsidP="009B27B8">
      <w:pPr>
        <w:tabs>
          <w:tab w:val="left" w:pos="5400"/>
        </w:tabs>
      </w:pPr>
      <w:r>
        <w:t>The information sought is held by Police Scotland, but I am refusing to provide it in terms of s</w:t>
      </w:r>
      <w:r w:rsidRPr="00453F0A">
        <w:t>ection 16</w:t>
      </w:r>
      <w:r>
        <w:t>(1) of the Act on the basis that the section 36(</w:t>
      </w:r>
      <w:r w:rsidR="00CB3428">
        <w:t>2</w:t>
      </w:r>
      <w:r>
        <w:t>)</w:t>
      </w:r>
      <w:r w:rsidR="00CB3428">
        <w:t>(b)</w:t>
      </w:r>
      <w:r>
        <w:t xml:space="preserve"> </w:t>
      </w:r>
      <w:r w:rsidR="00CB3428">
        <w:t>actionable breach of confidence</w:t>
      </w:r>
      <w:r>
        <w:t xml:space="preserve"> exemption applies. </w:t>
      </w:r>
    </w:p>
    <w:p w14:paraId="3826B9C0" w14:textId="77777777" w:rsidR="00623180" w:rsidRPr="00623180" w:rsidRDefault="00623180" w:rsidP="00623180">
      <w:pPr>
        <w:pStyle w:val="Heading2"/>
      </w:pPr>
      <w:r w:rsidRPr="00623180">
        <w:t>How much has Police Scotland spent in legal advice in connection with the civil action which was first raised in May 2018 against the Chief Constable by the family of Sheku Bayoh?</w:t>
      </w:r>
    </w:p>
    <w:p w14:paraId="34BDABB8" w14:textId="5859F3E8" w:rsidR="00255F1E" w:rsidRDefault="00623180" w:rsidP="00793DD5">
      <w:pPr>
        <w:tabs>
          <w:tab w:val="left" w:pos="5400"/>
        </w:tabs>
      </w:pPr>
      <w:r>
        <w:t xml:space="preserve">Clarification was sought </w:t>
      </w:r>
      <w:r w:rsidR="00CB3428">
        <w:t xml:space="preserve">in relation to </w:t>
      </w:r>
      <w:r w:rsidRPr="00623180">
        <w:t xml:space="preserve">“legal advice”, </w:t>
      </w:r>
      <w:r w:rsidR="00CB3428">
        <w:t>whether that meant</w:t>
      </w:r>
      <w:r w:rsidRPr="00623180">
        <w:t xml:space="preserve"> the overall legal costs in connection with the civil action, or specifically costs associated with legal advice?</w:t>
      </w:r>
      <w:r w:rsidR="00CB3428">
        <w:br/>
        <w:t>Y</w:t>
      </w:r>
      <w:r>
        <w:t xml:space="preserve">ou advised </w:t>
      </w:r>
      <w:r w:rsidR="00CB3428">
        <w:t>as</w:t>
      </w:r>
      <w:r>
        <w:t xml:space="preserve"> follow</w:t>
      </w:r>
      <w:r w:rsidR="00CB3428">
        <w:t>s</w:t>
      </w:r>
      <w:r>
        <w:t>:</w:t>
      </w:r>
    </w:p>
    <w:p w14:paraId="7A8EEFC5" w14:textId="77777777" w:rsidR="00623180" w:rsidRPr="00623180" w:rsidRDefault="00623180" w:rsidP="00623180">
      <w:pPr>
        <w:pStyle w:val="Heading2"/>
      </w:pPr>
      <w:r w:rsidRPr="00623180">
        <w:t>If possible, please can you break down both costs separately with an explanatory note of what they funded?</w:t>
      </w:r>
    </w:p>
    <w:p w14:paraId="0649F580" w14:textId="687CCBA6" w:rsidR="00623180" w:rsidRDefault="005F082F" w:rsidP="00793DD5">
      <w:pPr>
        <w:tabs>
          <w:tab w:val="left" w:pos="5400"/>
        </w:tabs>
      </w:pPr>
      <w:r>
        <w:t>In response to this question, please see the table below.</w:t>
      </w:r>
    </w:p>
    <w:tbl>
      <w:tblPr>
        <w:tblW w:w="963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6"/>
        <w:gridCol w:w="2550"/>
      </w:tblGrid>
      <w:tr w:rsidR="005F082F" w:rsidRPr="005F082F" w14:paraId="5E362705" w14:textId="77777777" w:rsidTr="00CB3428">
        <w:trPr>
          <w:trHeight w:val="405"/>
          <w:tblHeader/>
        </w:trPr>
        <w:tc>
          <w:tcPr>
            <w:tcW w:w="7086" w:type="dxa"/>
            <w:shd w:val="clear" w:color="auto" w:fill="D9D9D9" w:themeFill="background1" w:themeFillShade="D9"/>
            <w:tcMar>
              <w:top w:w="0" w:type="dxa"/>
              <w:left w:w="108" w:type="dxa"/>
              <w:bottom w:w="0" w:type="dxa"/>
              <w:right w:w="108" w:type="dxa"/>
            </w:tcMar>
            <w:vAlign w:val="center"/>
            <w:hideMark/>
          </w:tcPr>
          <w:p w14:paraId="6B9A020F" w14:textId="77777777" w:rsidR="005F082F" w:rsidRPr="005F082F" w:rsidRDefault="005F082F" w:rsidP="00CB3428">
            <w:pPr>
              <w:spacing w:line="240" w:lineRule="auto"/>
              <w:rPr>
                <w:lang w:eastAsia="en-GB"/>
              </w:rPr>
            </w:pPr>
            <w:r w:rsidRPr="005F082F">
              <w:rPr>
                <w:lang w:eastAsia="en-GB"/>
              </w:rPr>
              <w:t xml:space="preserve">Item </w:t>
            </w:r>
          </w:p>
        </w:tc>
        <w:tc>
          <w:tcPr>
            <w:tcW w:w="2550" w:type="dxa"/>
            <w:shd w:val="clear" w:color="auto" w:fill="D9D9D9" w:themeFill="background1" w:themeFillShade="D9"/>
            <w:tcMar>
              <w:top w:w="0" w:type="dxa"/>
              <w:left w:w="108" w:type="dxa"/>
              <w:bottom w:w="0" w:type="dxa"/>
              <w:right w:w="108" w:type="dxa"/>
            </w:tcMar>
            <w:vAlign w:val="center"/>
            <w:hideMark/>
          </w:tcPr>
          <w:p w14:paraId="0E4DEAD2" w14:textId="624F39F0" w:rsidR="005F082F" w:rsidRPr="005F082F" w:rsidRDefault="005F082F" w:rsidP="00CB3428">
            <w:pPr>
              <w:spacing w:line="240" w:lineRule="auto"/>
              <w:rPr>
                <w:lang w:eastAsia="en-GB"/>
              </w:rPr>
            </w:pPr>
            <w:r w:rsidRPr="005F082F">
              <w:rPr>
                <w:lang w:eastAsia="en-GB"/>
              </w:rPr>
              <w:t xml:space="preserve">Total Spend </w:t>
            </w:r>
            <w:r w:rsidR="00CB3428">
              <w:rPr>
                <w:lang w:eastAsia="en-GB"/>
              </w:rPr>
              <w:br/>
            </w:r>
            <w:r w:rsidRPr="005F082F">
              <w:rPr>
                <w:lang w:eastAsia="en-GB"/>
              </w:rPr>
              <w:t>(May 2018 - Present)</w:t>
            </w:r>
          </w:p>
        </w:tc>
      </w:tr>
      <w:tr w:rsidR="005F082F" w:rsidRPr="005F082F" w14:paraId="40B50E2E" w14:textId="77777777" w:rsidTr="00CB3428">
        <w:trPr>
          <w:trHeight w:val="600"/>
        </w:trPr>
        <w:tc>
          <w:tcPr>
            <w:tcW w:w="7086" w:type="dxa"/>
            <w:tcMar>
              <w:top w:w="0" w:type="dxa"/>
              <w:left w:w="108" w:type="dxa"/>
              <w:bottom w:w="0" w:type="dxa"/>
              <w:right w:w="108" w:type="dxa"/>
            </w:tcMar>
            <w:vAlign w:val="bottom"/>
            <w:hideMark/>
          </w:tcPr>
          <w:p w14:paraId="5E83D583" w14:textId="77777777" w:rsidR="005F082F" w:rsidRPr="005F082F" w:rsidRDefault="005F082F" w:rsidP="00CB3428">
            <w:pPr>
              <w:spacing w:line="240" w:lineRule="auto"/>
              <w:rPr>
                <w:lang w:eastAsia="en-GB"/>
              </w:rPr>
            </w:pPr>
            <w:r w:rsidRPr="005F082F">
              <w:rPr>
                <w:lang w:eastAsia="en-GB"/>
              </w:rPr>
              <w:t xml:space="preserve">Legal Advice (Preparing and reviewing papers, consultations, meetings, preparation of opinions etc) </w:t>
            </w:r>
          </w:p>
        </w:tc>
        <w:tc>
          <w:tcPr>
            <w:tcW w:w="2550" w:type="dxa"/>
            <w:tcMar>
              <w:top w:w="0" w:type="dxa"/>
              <w:left w:w="108" w:type="dxa"/>
              <w:bottom w:w="0" w:type="dxa"/>
              <w:right w:w="108" w:type="dxa"/>
            </w:tcMar>
            <w:vAlign w:val="bottom"/>
            <w:hideMark/>
          </w:tcPr>
          <w:p w14:paraId="02A2F59C" w14:textId="77777777" w:rsidR="005F082F" w:rsidRPr="005F082F" w:rsidRDefault="005F082F" w:rsidP="00CB3428">
            <w:pPr>
              <w:spacing w:line="240" w:lineRule="auto"/>
              <w:rPr>
                <w:lang w:eastAsia="en-GB"/>
              </w:rPr>
            </w:pPr>
            <w:r w:rsidRPr="005F082F">
              <w:rPr>
                <w:lang w:eastAsia="en-GB"/>
              </w:rPr>
              <w:t>£130,810.60</w:t>
            </w:r>
          </w:p>
        </w:tc>
      </w:tr>
      <w:tr w:rsidR="005F082F" w:rsidRPr="005F082F" w14:paraId="1947AADC" w14:textId="77777777" w:rsidTr="00CB3428">
        <w:trPr>
          <w:trHeight w:val="300"/>
        </w:trPr>
        <w:tc>
          <w:tcPr>
            <w:tcW w:w="7086" w:type="dxa"/>
            <w:tcMar>
              <w:top w:w="0" w:type="dxa"/>
              <w:left w:w="108" w:type="dxa"/>
              <w:bottom w:w="0" w:type="dxa"/>
              <w:right w:w="108" w:type="dxa"/>
            </w:tcMar>
            <w:vAlign w:val="bottom"/>
            <w:hideMark/>
          </w:tcPr>
          <w:p w14:paraId="7CEDD081" w14:textId="2287D489" w:rsidR="005F082F" w:rsidRPr="005F082F" w:rsidRDefault="005F082F" w:rsidP="00CB3428">
            <w:pPr>
              <w:spacing w:line="240" w:lineRule="auto"/>
              <w:rPr>
                <w:lang w:eastAsia="en-GB"/>
              </w:rPr>
            </w:pPr>
            <w:r w:rsidRPr="005F082F">
              <w:rPr>
                <w:lang w:eastAsia="en-GB"/>
              </w:rPr>
              <w:t xml:space="preserve">Court Dues </w:t>
            </w:r>
            <w:r w:rsidR="00CB3428">
              <w:rPr>
                <w:lang w:eastAsia="en-GB"/>
              </w:rPr>
              <w:t>-</w:t>
            </w:r>
            <w:r w:rsidRPr="005F082F">
              <w:rPr>
                <w:lang w:eastAsia="en-GB"/>
              </w:rPr>
              <w:t xml:space="preserve"> Paid to Court to lodge documents as required</w:t>
            </w:r>
          </w:p>
        </w:tc>
        <w:tc>
          <w:tcPr>
            <w:tcW w:w="2550" w:type="dxa"/>
            <w:tcMar>
              <w:top w:w="0" w:type="dxa"/>
              <w:left w:w="108" w:type="dxa"/>
              <w:bottom w:w="0" w:type="dxa"/>
              <w:right w:w="108" w:type="dxa"/>
            </w:tcMar>
            <w:vAlign w:val="bottom"/>
            <w:hideMark/>
          </w:tcPr>
          <w:p w14:paraId="4A64D4E1" w14:textId="77777777" w:rsidR="005F082F" w:rsidRPr="005F082F" w:rsidRDefault="005F082F" w:rsidP="00CB3428">
            <w:pPr>
              <w:spacing w:line="240" w:lineRule="auto"/>
              <w:rPr>
                <w:lang w:eastAsia="en-GB"/>
              </w:rPr>
            </w:pPr>
            <w:r w:rsidRPr="005F082F">
              <w:rPr>
                <w:lang w:eastAsia="en-GB"/>
              </w:rPr>
              <w:t>£166.00</w:t>
            </w:r>
          </w:p>
        </w:tc>
      </w:tr>
      <w:tr w:rsidR="005F082F" w:rsidRPr="005F082F" w14:paraId="2313C127" w14:textId="77777777" w:rsidTr="00CB3428">
        <w:trPr>
          <w:trHeight w:val="300"/>
        </w:trPr>
        <w:tc>
          <w:tcPr>
            <w:tcW w:w="7086" w:type="dxa"/>
            <w:tcMar>
              <w:top w:w="0" w:type="dxa"/>
              <w:left w:w="108" w:type="dxa"/>
              <w:bottom w:w="0" w:type="dxa"/>
              <w:right w:w="108" w:type="dxa"/>
            </w:tcMar>
            <w:vAlign w:val="bottom"/>
            <w:hideMark/>
          </w:tcPr>
          <w:p w14:paraId="6D727BB5" w14:textId="77777777" w:rsidR="005F082F" w:rsidRPr="005F082F" w:rsidRDefault="005F082F" w:rsidP="00CB3428">
            <w:pPr>
              <w:spacing w:line="240" w:lineRule="auto"/>
              <w:rPr>
                <w:lang w:eastAsia="en-GB"/>
              </w:rPr>
            </w:pPr>
            <w:r w:rsidRPr="005F082F">
              <w:rPr>
                <w:lang w:eastAsia="en-GB"/>
              </w:rPr>
              <w:t xml:space="preserve">Sundry Account - Postage etc. </w:t>
            </w:r>
          </w:p>
        </w:tc>
        <w:tc>
          <w:tcPr>
            <w:tcW w:w="2550" w:type="dxa"/>
            <w:tcMar>
              <w:top w:w="0" w:type="dxa"/>
              <w:left w:w="108" w:type="dxa"/>
              <w:bottom w:w="0" w:type="dxa"/>
              <w:right w:w="108" w:type="dxa"/>
            </w:tcMar>
            <w:vAlign w:val="bottom"/>
            <w:hideMark/>
          </w:tcPr>
          <w:p w14:paraId="5C00BB06" w14:textId="77777777" w:rsidR="005F082F" w:rsidRPr="005F082F" w:rsidRDefault="005F082F" w:rsidP="00CB3428">
            <w:pPr>
              <w:spacing w:line="240" w:lineRule="auto"/>
              <w:rPr>
                <w:lang w:eastAsia="en-GB"/>
              </w:rPr>
            </w:pPr>
            <w:r w:rsidRPr="005F082F">
              <w:rPr>
                <w:lang w:eastAsia="en-GB"/>
              </w:rPr>
              <w:t>£177.04</w:t>
            </w:r>
          </w:p>
        </w:tc>
      </w:tr>
      <w:tr w:rsidR="005F082F" w:rsidRPr="005F082F" w14:paraId="018E5FC5" w14:textId="77777777" w:rsidTr="00CB3428">
        <w:trPr>
          <w:trHeight w:val="300"/>
        </w:trPr>
        <w:tc>
          <w:tcPr>
            <w:tcW w:w="7086" w:type="dxa"/>
            <w:tcMar>
              <w:top w:w="0" w:type="dxa"/>
              <w:left w:w="108" w:type="dxa"/>
              <w:bottom w:w="0" w:type="dxa"/>
              <w:right w:w="108" w:type="dxa"/>
            </w:tcMar>
            <w:vAlign w:val="bottom"/>
            <w:hideMark/>
          </w:tcPr>
          <w:p w14:paraId="47E5C531" w14:textId="7A1BEB9E" w:rsidR="005F082F" w:rsidRPr="005F082F" w:rsidRDefault="005F082F" w:rsidP="00CB3428">
            <w:pPr>
              <w:spacing w:line="240" w:lineRule="auto"/>
              <w:rPr>
                <w:lang w:eastAsia="en-GB"/>
              </w:rPr>
            </w:pPr>
            <w:r w:rsidRPr="005F082F">
              <w:rPr>
                <w:lang w:eastAsia="en-GB"/>
              </w:rPr>
              <w:t xml:space="preserve">Travel </w:t>
            </w:r>
            <w:r w:rsidR="00CB3428">
              <w:rPr>
                <w:lang w:eastAsia="en-GB"/>
              </w:rPr>
              <w:t>-</w:t>
            </w:r>
            <w:r w:rsidRPr="005F082F">
              <w:rPr>
                <w:lang w:eastAsia="en-GB"/>
              </w:rPr>
              <w:t xml:space="preserve"> Travel expenses to appear at Hearings</w:t>
            </w:r>
          </w:p>
        </w:tc>
        <w:tc>
          <w:tcPr>
            <w:tcW w:w="2550" w:type="dxa"/>
            <w:tcMar>
              <w:top w:w="0" w:type="dxa"/>
              <w:left w:w="108" w:type="dxa"/>
              <w:bottom w:w="0" w:type="dxa"/>
              <w:right w:w="108" w:type="dxa"/>
            </w:tcMar>
            <w:vAlign w:val="bottom"/>
            <w:hideMark/>
          </w:tcPr>
          <w:p w14:paraId="54CAC257" w14:textId="77777777" w:rsidR="005F082F" w:rsidRPr="005F082F" w:rsidRDefault="005F082F" w:rsidP="00CB3428">
            <w:pPr>
              <w:spacing w:line="240" w:lineRule="auto"/>
              <w:rPr>
                <w:lang w:eastAsia="en-GB"/>
              </w:rPr>
            </w:pPr>
            <w:r w:rsidRPr="005F082F">
              <w:rPr>
                <w:lang w:eastAsia="en-GB"/>
              </w:rPr>
              <w:t>£365.76</w:t>
            </w:r>
          </w:p>
        </w:tc>
      </w:tr>
      <w:tr w:rsidR="005F082F" w:rsidRPr="005F082F" w14:paraId="5A29E093" w14:textId="77777777" w:rsidTr="00CB3428">
        <w:trPr>
          <w:trHeight w:val="315"/>
        </w:trPr>
        <w:tc>
          <w:tcPr>
            <w:tcW w:w="7086" w:type="dxa"/>
            <w:tcMar>
              <w:top w:w="0" w:type="dxa"/>
              <w:left w:w="108" w:type="dxa"/>
              <w:bottom w:w="0" w:type="dxa"/>
              <w:right w:w="108" w:type="dxa"/>
            </w:tcMar>
            <w:vAlign w:val="bottom"/>
            <w:hideMark/>
          </w:tcPr>
          <w:p w14:paraId="4DFCCC14" w14:textId="77777777" w:rsidR="005F082F" w:rsidRPr="005F082F" w:rsidRDefault="005F082F" w:rsidP="00CB3428">
            <w:pPr>
              <w:spacing w:line="240" w:lineRule="auto"/>
              <w:rPr>
                <w:lang w:eastAsia="en-GB"/>
              </w:rPr>
            </w:pPr>
            <w:r w:rsidRPr="005F082F">
              <w:rPr>
                <w:lang w:eastAsia="en-GB"/>
              </w:rPr>
              <w:t xml:space="preserve">TOTAL </w:t>
            </w:r>
          </w:p>
        </w:tc>
        <w:tc>
          <w:tcPr>
            <w:tcW w:w="2550" w:type="dxa"/>
            <w:noWrap/>
            <w:tcMar>
              <w:top w:w="0" w:type="dxa"/>
              <w:left w:w="108" w:type="dxa"/>
              <w:bottom w:w="0" w:type="dxa"/>
              <w:right w:w="108" w:type="dxa"/>
            </w:tcMar>
            <w:vAlign w:val="bottom"/>
            <w:hideMark/>
          </w:tcPr>
          <w:p w14:paraId="762DE7FE" w14:textId="77777777" w:rsidR="005F082F" w:rsidRPr="005F082F" w:rsidRDefault="005F082F" w:rsidP="00CB3428">
            <w:pPr>
              <w:spacing w:line="240" w:lineRule="auto"/>
              <w:rPr>
                <w:lang w:eastAsia="en-GB"/>
              </w:rPr>
            </w:pPr>
            <w:r w:rsidRPr="005F082F">
              <w:rPr>
                <w:lang w:eastAsia="en-GB"/>
              </w:rPr>
              <w:t>£131,519.40</w:t>
            </w:r>
          </w:p>
        </w:tc>
      </w:tr>
    </w:tbl>
    <w:p w14:paraId="7CC39CF4" w14:textId="77777777" w:rsidR="005F082F" w:rsidRPr="00B11A55" w:rsidRDefault="005F082F"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20474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23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1EC8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23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F81DD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23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2CC39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23E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4DDD4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23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02720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23E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7F57"/>
    <w:multiLevelType w:val="hybridMultilevel"/>
    <w:tmpl w:val="1D14F2A0"/>
    <w:lvl w:ilvl="0" w:tplc="6A303C92">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0631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3EB"/>
    <w:rsid w:val="000E2F19"/>
    <w:rsid w:val="000E6526"/>
    <w:rsid w:val="00141533"/>
    <w:rsid w:val="00167528"/>
    <w:rsid w:val="00195CC4"/>
    <w:rsid w:val="00207326"/>
    <w:rsid w:val="00253DF6"/>
    <w:rsid w:val="00255F1E"/>
    <w:rsid w:val="002E6935"/>
    <w:rsid w:val="002E6E29"/>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F082F"/>
    <w:rsid w:val="00623180"/>
    <w:rsid w:val="00645CFA"/>
    <w:rsid w:val="0067207F"/>
    <w:rsid w:val="00685219"/>
    <w:rsid w:val="006D5799"/>
    <w:rsid w:val="007440EA"/>
    <w:rsid w:val="00750D83"/>
    <w:rsid w:val="00782B50"/>
    <w:rsid w:val="00785DBC"/>
    <w:rsid w:val="00793DD5"/>
    <w:rsid w:val="007D55F6"/>
    <w:rsid w:val="007F490F"/>
    <w:rsid w:val="0086779C"/>
    <w:rsid w:val="00874BFD"/>
    <w:rsid w:val="008948BA"/>
    <w:rsid w:val="008964EF"/>
    <w:rsid w:val="00915E01"/>
    <w:rsid w:val="009631A4"/>
    <w:rsid w:val="00977296"/>
    <w:rsid w:val="009B27B8"/>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25B2C"/>
    <w:rsid w:val="00C606A2"/>
    <w:rsid w:val="00C63872"/>
    <w:rsid w:val="00C84948"/>
    <w:rsid w:val="00C94ED8"/>
    <w:rsid w:val="00CB342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4799">
      <w:bodyDiv w:val="1"/>
      <w:marLeft w:val="0"/>
      <w:marRight w:val="0"/>
      <w:marTop w:val="0"/>
      <w:marBottom w:val="0"/>
      <w:divBdr>
        <w:top w:val="none" w:sz="0" w:space="0" w:color="auto"/>
        <w:left w:val="none" w:sz="0" w:space="0" w:color="auto"/>
        <w:bottom w:val="none" w:sz="0" w:space="0" w:color="auto"/>
        <w:right w:val="none" w:sz="0" w:space="0" w:color="auto"/>
      </w:divBdr>
    </w:div>
    <w:div w:id="314535027">
      <w:bodyDiv w:val="1"/>
      <w:marLeft w:val="0"/>
      <w:marRight w:val="0"/>
      <w:marTop w:val="0"/>
      <w:marBottom w:val="0"/>
      <w:divBdr>
        <w:top w:val="none" w:sz="0" w:space="0" w:color="auto"/>
        <w:left w:val="none" w:sz="0" w:space="0" w:color="auto"/>
        <w:bottom w:val="none" w:sz="0" w:space="0" w:color="auto"/>
        <w:right w:val="none" w:sz="0" w:space="0" w:color="auto"/>
      </w:divBdr>
    </w:div>
    <w:div w:id="535194738">
      <w:bodyDiv w:val="1"/>
      <w:marLeft w:val="0"/>
      <w:marRight w:val="0"/>
      <w:marTop w:val="0"/>
      <w:marBottom w:val="0"/>
      <w:divBdr>
        <w:top w:val="none" w:sz="0" w:space="0" w:color="auto"/>
        <w:left w:val="none" w:sz="0" w:space="0" w:color="auto"/>
        <w:bottom w:val="none" w:sz="0" w:space="0" w:color="auto"/>
        <w:right w:val="none" w:sz="0" w:space="0" w:color="auto"/>
      </w:divBdr>
    </w:div>
    <w:div w:id="657882381">
      <w:bodyDiv w:val="1"/>
      <w:marLeft w:val="0"/>
      <w:marRight w:val="0"/>
      <w:marTop w:val="0"/>
      <w:marBottom w:val="0"/>
      <w:divBdr>
        <w:top w:val="none" w:sz="0" w:space="0" w:color="auto"/>
        <w:left w:val="none" w:sz="0" w:space="0" w:color="auto"/>
        <w:bottom w:val="none" w:sz="0" w:space="0" w:color="auto"/>
        <w:right w:val="none" w:sz="0" w:space="0" w:color="auto"/>
      </w:divBdr>
    </w:div>
    <w:div w:id="1006591580">
      <w:bodyDiv w:val="1"/>
      <w:marLeft w:val="0"/>
      <w:marRight w:val="0"/>
      <w:marTop w:val="0"/>
      <w:marBottom w:val="0"/>
      <w:divBdr>
        <w:top w:val="none" w:sz="0" w:space="0" w:color="auto"/>
        <w:left w:val="none" w:sz="0" w:space="0" w:color="auto"/>
        <w:bottom w:val="none" w:sz="0" w:space="0" w:color="auto"/>
        <w:right w:val="none" w:sz="0" w:space="0" w:color="auto"/>
      </w:divBdr>
    </w:div>
    <w:div w:id="1155492753">
      <w:bodyDiv w:val="1"/>
      <w:marLeft w:val="0"/>
      <w:marRight w:val="0"/>
      <w:marTop w:val="0"/>
      <w:marBottom w:val="0"/>
      <w:divBdr>
        <w:top w:val="none" w:sz="0" w:space="0" w:color="auto"/>
        <w:left w:val="none" w:sz="0" w:space="0" w:color="auto"/>
        <w:bottom w:val="none" w:sz="0" w:space="0" w:color="auto"/>
        <w:right w:val="none" w:sz="0" w:space="0" w:color="auto"/>
      </w:divBdr>
    </w:div>
    <w:div w:id="21022212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2025-05-02T09:42:00Z</dcterms:created>
  <dcterms:modified xsi:type="dcterms:W3CDTF">2025-05-02T09:42:00Z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