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3903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713F4">
              <w:t>1307</w:t>
            </w:r>
          </w:p>
          <w:p w14:paraId="34BDABA6" w14:textId="65AACFF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13F4">
              <w:t>11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C0B75A" w14:textId="1263DFBC" w:rsidR="00FC0F57" w:rsidRDefault="00FC0F57" w:rsidP="00FC0F57">
      <w:pPr>
        <w:pStyle w:val="Heading2"/>
      </w:pPr>
      <w:r>
        <w:t>Under the Freedom of Information (Scotland) Act 2002, I am requesting detailed data regarding the issuance of Fixed Penalty Notices (FPNs) under various COVID-19 emergency health regulations, broken down by each local authority in Scotland from 27th March 2020 to 27th February 2022, provided in CSV format.</w:t>
      </w:r>
    </w:p>
    <w:p w14:paraId="14269872" w14:textId="27B30CCE" w:rsidR="00FC0F57" w:rsidRDefault="00FC0F57" w:rsidP="00FC0F57">
      <w:pPr>
        <w:pStyle w:val="Heading2"/>
      </w:pPr>
      <w:r>
        <w:t>Please include the following detailed information for each local authority in Scotland:</w:t>
      </w:r>
    </w:p>
    <w:p w14:paraId="05062828" w14:textId="7A9590B8" w:rsidR="00FC0F57" w:rsidRDefault="00FC0F57" w:rsidP="00FC0F57">
      <w:pPr>
        <w:pStyle w:val="Heading2"/>
      </w:pPr>
      <w:r>
        <w:t>1. No.1, No.2, and local lockdown regs: FPNs issued for violations under the first and second sets of national COVID-19 regulations, including any FPNs issued during specific local lockdown periods where additional restrictions were locally enforced.</w:t>
      </w:r>
    </w:p>
    <w:p w14:paraId="0E9B19A4" w14:textId="1E129816" w:rsidR="00FC0F57" w:rsidRDefault="00FC0F57" w:rsidP="00FC0F57">
      <w:pPr>
        <w:pStyle w:val="Heading2"/>
      </w:pPr>
      <w:r>
        <w:t>2. Local COVID-19 alert levels: FPNs issued during the operation of the tiered alert system, which categorizes areas based on their COVID-19 infection rates and corresponding public health risks.</w:t>
      </w:r>
    </w:p>
    <w:p w14:paraId="20D81154" w14:textId="5274B20B" w:rsidR="00FC0F57" w:rsidRDefault="00FC0F57" w:rsidP="00FC0F57">
      <w:pPr>
        <w:pStyle w:val="Heading2"/>
      </w:pPr>
      <w:r>
        <w:t>3. Hold a gathering of more than 30 people: FPNs issued specifically for gatherings exceeding 30 people, which contravened public health orders during the period when such gatherings were explicitly restricted.</w:t>
      </w:r>
    </w:p>
    <w:p w14:paraId="34282064" w14:textId="3AA8AC00" w:rsidR="00FC0F57" w:rsidRDefault="00FC0F57" w:rsidP="00FC0F57">
      <w:pPr>
        <w:pStyle w:val="Heading2"/>
      </w:pPr>
      <w:r>
        <w:t>4. No.4 regs (national lockdown): FPNs issued during full national lockdown periods, where strictest restrictions including stay-at-home orders were in place.</w:t>
      </w:r>
    </w:p>
    <w:p w14:paraId="026F6DA1" w14:textId="77777777" w:rsidR="00FC0F57" w:rsidRDefault="00FC0F57" w:rsidP="00FC0F57">
      <w:pPr>
        <w:pStyle w:val="Heading2"/>
      </w:pPr>
      <w:r>
        <w:t>5. All tiers: Total FPNs issued across all levels of the tiered alert system, summarizing enforcement across different tiers.</w:t>
      </w:r>
    </w:p>
    <w:p w14:paraId="4B5FF0E0" w14:textId="77777777" w:rsidR="00E26CC4" w:rsidRPr="00E26CC4" w:rsidRDefault="00E26CC4" w:rsidP="00E26CC4"/>
    <w:p w14:paraId="07CD700A" w14:textId="77777777" w:rsidR="00FC0F57" w:rsidRDefault="00FC0F57" w:rsidP="00FC0F57">
      <w:pPr>
        <w:pStyle w:val="Heading2"/>
      </w:pPr>
    </w:p>
    <w:p w14:paraId="68218251" w14:textId="73DB41AE" w:rsidR="00FC0F57" w:rsidRDefault="00FC0F57" w:rsidP="00FC0F57">
      <w:pPr>
        <w:pStyle w:val="Heading2"/>
      </w:pPr>
      <w:r>
        <w:t>6. Steps: FPNs issued in response to violations of the phased steps outlined by the government for gradually easing lockdown measures.</w:t>
      </w:r>
    </w:p>
    <w:p w14:paraId="28AE1E99" w14:textId="3D73AD91" w:rsidR="00FC0F57" w:rsidRDefault="00FC0F57" w:rsidP="00FC0F57">
      <w:pPr>
        <w:pStyle w:val="Heading2"/>
      </w:pPr>
      <w:r>
        <w:t>7. Face coverings regulations (public transport &amp; relevant place): FPNs for non-compliance with mandates requiring face coverings on public transport and in designated public places.</w:t>
      </w:r>
    </w:p>
    <w:p w14:paraId="222F0030" w14:textId="19D6692C" w:rsidR="00FC0F57" w:rsidRDefault="00FC0F57" w:rsidP="00FC0F57">
      <w:pPr>
        <w:pStyle w:val="Heading2"/>
      </w:pPr>
      <w:r>
        <w:t>8. International travel regulations: FPNs issued for violations related to international travel restrictions, including failure to quarantine or follow prescribed travel protocols.</w:t>
      </w:r>
    </w:p>
    <w:p w14:paraId="73AC42B0" w14:textId="518D7A20" w:rsidR="00FC0F57" w:rsidRDefault="00FC0F57" w:rsidP="00FC0F57">
      <w:pPr>
        <w:pStyle w:val="Heading2"/>
      </w:pPr>
      <w:r>
        <w:t>9. Business regulations: FPNs issued to businesses for failing to comply with COVID-19 specific safety regulations.</w:t>
      </w:r>
    </w:p>
    <w:p w14:paraId="328752A6" w14:textId="77777777" w:rsidR="00FC0F57" w:rsidRDefault="00FC0F57" w:rsidP="00FC0F57">
      <w:pPr>
        <w:pStyle w:val="Heading2"/>
      </w:pPr>
      <w:r>
        <w:t>10. Self-Isolation Regulations: FPNs issued to individuals who did not adhere to mandatory self-isolation guidelines after testing positive for COVID-19 or being identified as close contacts of confirmed cases.</w:t>
      </w:r>
    </w:p>
    <w:p w14:paraId="1B71C7BF" w14:textId="29E19831" w:rsidR="000E23E2" w:rsidRDefault="000E23E2" w:rsidP="000E23E2">
      <w:r>
        <w:t xml:space="preserve">I regret to inform you that I am unable to provide you with the information you have requested above. </w:t>
      </w:r>
      <w:proofErr w:type="gramStart"/>
      <w:r>
        <w:t>Therefore</w:t>
      </w:r>
      <w:proofErr w:type="gramEnd"/>
      <w:r>
        <w:t xml:space="preserve"> in accordance with Sections 12(1) (Excessive cost of compliance) and 16(4) (Refusal of request) of the Freedom of Information (Scotland) Act 2002 (the Act), this letter represents a Refusal Notice.  </w:t>
      </w:r>
    </w:p>
    <w:p w14:paraId="5C07D7CC" w14:textId="1E76FFDD" w:rsidR="00E26CC4" w:rsidRDefault="000E23E2" w:rsidP="000E23E2">
      <w:r>
        <w:t xml:space="preserve">By way of explanation, there is no </w:t>
      </w:r>
      <w:r w:rsidR="004A6A77">
        <w:t>way to answer each question above other than manually review each incident to identify the offence committed.</w:t>
      </w:r>
      <w:r>
        <w:t xml:space="preserve"> If we used the </w:t>
      </w:r>
      <w:proofErr w:type="gramStart"/>
      <w:r>
        <w:t>example</w:t>
      </w:r>
      <w:proofErr w:type="gramEnd"/>
      <w:r>
        <w:t xml:space="preserve"> it would take </w:t>
      </w:r>
      <w:r w:rsidR="004A6A77">
        <w:t>5</w:t>
      </w:r>
      <w:r>
        <w:t xml:space="preserve"> minutes to read through each </w:t>
      </w:r>
      <w:r w:rsidR="004A6A77">
        <w:t>incident</w:t>
      </w:r>
      <w:r>
        <w:t xml:space="preserve"> this would take approximately </w:t>
      </w:r>
      <w:r w:rsidR="0042590D">
        <w:t>2,059</w:t>
      </w:r>
      <w:r>
        <w:t xml:space="preserve"> hours and cost £</w:t>
      </w:r>
      <w:r w:rsidR="0042590D">
        <w:t>30,890</w:t>
      </w:r>
      <w:r>
        <w:t>.</w:t>
      </w:r>
      <w:r w:rsidR="0042590D">
        <w:t xml:space="preserve"> </w:t>
      </w:r>
      <w:r>
        <w:t xml:space="preserve">This is </w:t>
      </w:r>
      <w:proofErr w:type="gramStart"/>
      <w:r>
        <w:t>in excess of</w:t>
      </w:r>
      <w:proofErr w:type="gramEnd"/>
      <w:r>
        <w:t xml:space="preserve"> the £600 and 40 hours prescribed by the Scottish Ministers under the Act.</w:t>
      </w:r>
    </w:p>
    <w:p w14:paraId="116E536C" w14:textId="6BC174D3" w:rsidR="00E26CC4" w:rsidRPr="00B11A55" w:rsidRDefault="0042590D" w:rsidP="009949F7">
      <w:r>
        <w:t>However, to be of assistance I have provided at the end of this letter a table providing the number of covid related fixed penalties, broken down by division.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0FB60778" w14:textId="77777777" w:rsidR="0042590D" w:rsidRDefault="0042590D" w:rsidP="00793DD5"/>
    <w:p w14:paraId="765F4989" w14:textId="77777777" w:rsidR="0042590D" w:rsidRDefault="0042590D" w:rsidP="00793DD5"/>
    <w:p w14:paraId="2E0621E6" w14:textId="77777777" w:rsidR="0042590D" w:rsidRDefault="0042590D" w:rsidP="00793DD5"/>
    <w:p w14:paraId="4873F664" w14:textId="77777777" w:rsidR="0042590D" w:rsidRDefault="0042590D" w:rsidP="00793DD5"/>
    <w:p w14:paraId="1F7E88B8" w14:textId="77777777" w:rsidR="0042590D" w:rsidRDefault="0042590D" w:rsidP="00793DD5"/>
    <w:p w14:paraId="10D96636" w14:textId="77777777" w:rsidR="0042590D" w:rsidRDefault="0042590D" w:rsidP="00793DD5"/>
    <w:p w14:paraId="6070F4D7" w14:textId="77777777" w:rsidR="0042590D" w:rsidRDefault="0042590D" w:rsidP="00793DD5"/>
    <w:p w14:paraId="57A42BA6" w14:textId="77777777" w:rsidR="0042590D" w:rsidRDefault="0042590D" w:rsidP="00793DD5"/>
    <w:p w14:paraId="2BE4DCA6" w14:textId="77777777" w:rsidR="0042590D" w:rsidRDefault="0042590D" w:rsidP="00793DD5"/>
    <w:p w14:paraId="1DA5E2FC" w14:textId="77777777" w:rsidR="0042590D" w:rsidRDefault="0042590D" w:rsidP="00793DD5"/>
    <w:p w14:paraId="596A0ABA" w14:textId="77777777" w:rsidR="0042590D" w:rsidRDefault="0042590D" w:rsidP="00793DD5"/>
    <w:p w14:paraId="79AB1789" w14:textId="77777777" w:rsidR="0042590D" w:rsidRDefault="0042590D" w:rsidP="00793DD5"/>
    <w:p w14:paraId="6EF6F095" w14:textId="77777777" w:rsidR="0042590D" w:rsidRDefault="0042590D" w:rsidP="00793DD5"/>
    <w:p w14:paraId="2FF8D690" w14:textId="77777777" w:rsidR="0042590D" w:rsidRDefault="0042590D" w:rsidP="00793DD5"/>
    <w:p w14:paraId="19FC6BBC" w14:textId="77777777" w:rsidR="0042590D" w:rsidRDefault="0042590D" w:rsidP="00793DD5"/>
    <w:p w14:paraId="23F8A4D3" w14:textId="77777777" w:rsidR="0042590D" w:rsidRDefault="0042590D" w:rsidP="00793DD5"/>
    <w:p w14:paraId="3C1135BA" w14:textId="77777777" w:rsidR="0042590D" w:rsidRDefault="0042590D" w:rsidP="00793DD5"/>
    <w:p w14:paraId="6BC52E0A" w14:textId="77777777" w:rsidR="0042590D" w:rsidRDefault="0042590D" w:rsidP="00793DD5"/>
    <w:p w14:paraId="17F2B16D" w14:textId="77777777" w:rsidR="0042590D" w:rsidRDefault="0042590D" w:rsidP="00793DD5"/>
    <w:p w14:paraId="4976F90E" w14:textId="77777777" w:rsidR="0042590D" w:rsidRDefault="0042590D" w:rsidP="0042590D">
      <w:pPr>
        <w:pStyle w:val="Heading2"/>
      </w:pPr>
      <w:r>
        <w:lastRenderedPageBreak/>
        <w:t xml:space="preserve">Recorded Covid Offences for Police Scotland broken by Division1,2 </w:t>
      </w:r>
    </w:p>
    <w:p w14:paraId="743D7D20" w14:textId="77777777" w:rsidR="0042590D" w:rsidRDefault="0042590D" w:rsidP="0042590D">
      <w:pPr>
        <w:pStyle w:val="Heading2"/>
      </w:pPr>
      <w:r>
        <w:t>Period: 27th March 2020 - 27th February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8"/>
        <w:gridCol w:w="3351"/>
      </w:tblGrid>
      <w:tr w:rsidR="0042590D" w:rsidRPr="00E90585" w14:paraId="7E47F48E" w14:textId="77777777" w:rsidTr="00611DE5">
        <w:tc>
          <w:tcPr>
            <w:tcW w:w="3738" w:type="dxa"/>
            <w:shd w:val="clear" w:color="auto" w:fill="D9D9D9" w:themeFill="background1" w:themeFillShade="D9"/>
          </w:tcPr>
          <w:p w14:paraId="75F63C2B" w14:textId="77777777" w:rsidR="0042590D" w:rsidRPr="00E90585" w:rsidRDefault="0042590D" w:rsidP="00611DE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14:paraId="026F2E18" w14:textId="77777777" w:rsidR="0042590D" w:rsidRPr="00E90585" w:rsidRDefault="0042590D" w:rsidP="00611DE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Number of fixed penalties </w:t>
            </w:r>
          </w:p>
        </w:tc>
      </w:tr>
      <w:tr w:rsidR="0042590D" w14:paraId="61B6A9D7" w14:textId="77777777" w:rsidTr="00611DE5">
        <w:tc>
          <w:tcPr>
            <w:tcW w:w="3738" w:type="dxa"/>
          </w:tcPr>
          <w:p w14:paraId="297DE161" w14:textId="77777777" w:rsidR="0042590D" w:rsidRDefault="0042590D" w:rsidP="00611DE5">
            <w:pPr>
              <w:spacing w:line="240" w:lineRule="auto"/>
            </w:pPr>
            <w:proofErr w:type="gramStart"/>
            <w:r>
              <w:t>North East</w:t>
            </w:r>
            <w:proofErr w:type="gramEnd"/>
          </w:p>
        </w:tc>
        <w:tc>
          <w:tcPr>
            <w:tcW w:w="3351" w:type="dxa"/>
          </w:tcPr>
          <w:p w14:paraId="5D3BFF1B" w14:textId="77777777" w:rsidR="0042590D" w:rsidRDefault="0042590D" w:rsidP="00611DE5">
            <w:pPr>
              <w:spacing w:line="240" w:lineRule="auto"/>
            </w:pPr>
            <w:r>
              <w:t>810</w:t>
            </w:r>
          </w:p>
        </w:tc>
      </w:tr>
      <w:tr w:rsidR="0042590D" w14:paraId="776060AA" w14:textId="77777777" w:rsidTr="00611DE5">
        <w:tc>
          <w:tcPr>
            <w:tcW w:w="3738" w:type="dxa"/>
          </w:tcPr>
          <w:p w14:paraId="379E80B0" w14:textId="77777777" w:rsidR="0042590D" w:rsidRDefault="0042590D" w:rsidP="00611DE5">
            <w:pPr>
              <w:spacing w:line="240" w:lineRule="auto"/>
            </w:pPr>
            <w:proofErr w:type="spellStart"/>
            <w:r>
              <w:t>Forth</w:t>
            </w:r>
            <w:proofErr w:type="spellEnd"/>
            <w:r>
              <w:t xml:space="preserve"> Valley</w:t>
            </w:r>
          </w:p>
        </w:tc>
        <w:tc>
          <w:tcPr>
            <w:tcW w:w="3351" w:type="dxa"/>
          </w:tcPr>
          <w:p w14:paraId="56BBA2C6" w14:textId="77777777" w:rsidR="0042590D" w:rsidRDefault="0042590D" w:rsidP="00611DE5">
            <w:pPr>
              <w:spacing w:line="240" w:lineRule="auto"/>
            </w:pPr>
            <w:r>
              <w:t>899</w:t>
            </w:r>
          </w:p>
        </w:tc>
      </w:tr>
      <w:tr w:rsidR="0042590D" w14:paraId="48D9849F" w14:textId="77777777" w:rsidTr="00611DE5">
        <w:tc>
          <w:tcPr>
            <w:tcW w:w="3738" w:type="dxa"/>
          </w:tcPr>
          <w:p w14:paraId="476958B0" w14:textId="77777777" w:rsidR="0042590D" w:rsidRDefault="0042590D" w:rsidP="00611DE5">
            <w:pPr>
              <w:spacing w:line="240" w:lineRule="auto"/>
            </w:pPr>
            <w:r>
              <w:t>Tayside</w:t>
            </w:r>
          </w:p>
        </w:tc>
        <w:tc>
          <w:tcPr>
            <w:tcW w:w="3351" w:type="dxa"/>
          </w:tcPr>
          <w:p w14:paraId="2F7C2664" w14:textId="77777777" w:rsidR="0042590D" w:rsidRDefault="0042590D" w:rsidP="00611DE5">
            <w:pPr>
              <w:spacing w:line="240" w:lineRule="auto"/>
            </w:pPr>
            <w:r>
              <w:t>1,397</w:t>
            </w:r>
          </w:p>
        </w:tc>
      </w:tr>
      <w:tr w:rsidR="0042590D" w14:paraId="31A02314" w14:textId="77777777" w:rsidTr="00611DE5">
        <w:tc>
          <w:tcPr>
            <w:tcW w:w="3738" w:type="dxa"/>
          </w:tcPr>
          <w:p w14:paraId="5BC1ADBD" w14:textId="77777777" w:rsidR="0042590D" w:rsidRDefault="0042590D" w:rsidP="00611DE5">
            <w:pPr>
              <w:spacing w:line="240" w:lineRule="auto"/>
            </w:pPr>
            <w:r>
              <w:t>Edinburgh</w:t>
            </w:r>
          </w:p>
        </w:tc>
        <w:tc>
          <w:tcPr>
            <w:tcW w:w="3351" w:type="dxa"/>
          </w:tcPr>
          <w:p w14:paraId="30330DAB" w14:textId="77777777" w:rsidR="0042590D" w:rsidRDefault="0042590D" w:rsidP="00611DE5">
            <w:pPr>
              <w:spacing w:line="240" w:lineRule="auto"/>
            </w:pPr>
            <w:r>
              <w:t>2,720</w:t>
            </w:r>
          </w:p>
        </w:tc>
      </w:tr>
      <w:tr w:rsidR="0042590D" w14:paraId="43ADFF6B" w14:textId="77777777" w:rsidTr="00611DE5">
        <w:tc>
          <w:tcPr>
            <w:tcW w:w="3738" w:type="dxa"/>
          </w:tcPr>
          <w:p w14:paraId="676E7474" w14:textId="77777777" w:rsidR="0042590D" w:rsidRDefault="0042590D" w:rsidP="00611DE5">
            <w:pPr>
              <w:spacing w:line="240" w:lineRule="auto"/>
            </w:pPr>
            <w:r>
              <w:t>Greater Glasgow</w:t>
            </w:r>
          </w:p>
        </w:tc>
        <w:tc>
          <w:tcPr>
            <w:tcW w:w="3351" w:type="dxa"/>
          </w:tcPr>
          <w:p w14:paraId="13767D34" w14:textId="77777777" w:rsidR="0042590D" w:rsidRDefault="0042590D" w:rsidP="00611DE5">
            <w:pPr>
              <w:spacing w:line="240" w:lineRule="auto"/>
            </w:pPr>
            <w:r>
              <w:t>9,373</w:t>
            </w:r>
          </w:p>
        </w:tc>
      </w:tr>
      <w:tr w:rsidR="0042590D" w14:paraId="427EC186" w14:textId="77777777" w:rsidTr="00611DE5">
        <w:tc>
          <w:tcPr>
            <w:tcW w:w="3738" w:type="dxa"/>
          </w:tcPr>
          <w:p w14:paraId="052C8950" w14:textId="77777777" w:rsidR="0042590D" w:rsidRDefault="0042590D" w:rsidP="00611DE5">
            <w:pPr>
              <w:spacing w:line="240" w:lineRule="auto"/>
            </w:pPr>
            <w:r>
              <w:t>Lothians and Scottish Borders</w:t>
            </w:r>
          </w:p>
        </w:tc>
        <w:tc>
          <w:tcPr>
            <w:tcW w:w="3351" w:type="dxa"/>
          </w:tcPr>
          <w:p w14:paraId="189C6296" w14:textId="77777777" w:rsidR="0042590D" w:rsidRDefault="0042590D" w:rsidP="00611DE5">
            <w:pPr>
              <w:spacing w:line="240" w:lineRule="auto"/>
            </w:pPr>
            <w:r>
              <w:t>754</w:t>
            </w:r>
          </w:p>
        </w:tc>
      </w:tr>
      <w:tr w:rsidR="0042590D" w14:paraId="04A5F203" w14:textId="77777777" w:rsidTr="00611DE5">
        <w:tc>
          <w:tcPr>
            <w:tcW w:w="3738" w:type="dxa"/>
          </w:tcPr>
          <w:p w14:paraId="13D311E4" w14:textId="77777777" w:rsidR="0042590D" w:rsidRDefault="0042590D" w:rsidP="00611DE5">
            <w:pPr>
              <w:spacing w:line="240" w:lineRule="auto"/>
            </w:pPr>
            <w:r>
              <w:t>Renfrewshire and Inverclyde</w:t>
            </w:r>
          </w:p>
        </w:tc>
        <w:tc>
          <w:tcPr>
            <w:tcW w:w="3351" w:type="dxa"/>
          </w:tcPr>
          <w:p w14:paraId="236213FF" w14:textId="77777777" w:rsidR="0042590D" w:rsidRDefault="0042590D" w:rsidP="00611DE5">
            <w:pPr>
              <w:spacing w:line="240" w:lineRule="auto"/>
            </w:pPr>
            <w:r>
              <w:t>1,770</w:t>
            </w:r>
          </w:p>
        </w:tc>
      </w:tr>
      <w:tr w:rsidR="0042590D" w14:paraId="578D822E" w14:textId="77777777" w:rsidTr="00611DE5">
        <w:tc>
          <w:tcPr>
            <w:tcW w:w="3738" w:type="dxa"/>
          </w:tcPr>
          <w:p w14:paraId="6D41FE6E" w14:textId="77777777" w:rsidR="0042590D" w:rsidRDefault="0042590D" w:rsidP="00611DE5">
            <w:pPr>
              <w:spacing w:line="240" w:lineRule="auto"/>
            </w:pPr>
            <w:r>
              <w:t>Argyll and West Dunbartonshire</w:t>
            </w:r>
          </w:p>
        </w:tc>
        <w:tc>
          <w:tcPr>
            <w:tcW w:w="3351" w:type="dxa"/>
          </w:tcPr>
          <w:p w14:paraId="17CABBA6" w14:textId="77777777" w:rsidR="0042590D" w:rsidRDefault="0042590D" w:rsidP="00611DE5">
            <w:pPr>
              <w:spacing w:line="240" w:lineRule="auto"/>
            </w:pPr>
            <w:r>
              <w:t>1,723</w:t>
            </w:r>
          </w:p>
        </w:tc>
      </w:tr>
      <w:tr w:rsidR="0042590D" w14:paraId="2A9287F6" w14:textId="77777777" w:rsidTr="00611DE5">
        <w:tc>
          <w:tcPr>
            <w:tcW w:w="3738" w:type="dxa"/>
          </w:tcPr>
          <w:p w14:paraId="6AC8055C" w14:textId="77777777" w:rsidR="0042590D" w:rsidRDefault="0042590D" w:rsidP="00611DE5">
            <w:pPr>
              <w:spacing w:line="240" w:lineRule="auto"/>
            </w:pPr>
            <w:r>
              <w:t xml:space="preserve">Highlands and Islands </w:t>
            </w:r>
          </w:p>
        </w:tc>
        <w:tc>
          <w:tcPr>
            <w:tcW w:w="3351" w:type="dxa"/>
          </w:tcPr>
          <w:p w14:paraId="168294C8" w14:textId="77777777" w:rsidR="0042590D" w:rsidRDefault="0042590D" w:rsidP="00611DE5">
            <w:pPr>
              <w:spacing w:line="240" w:lineRule="auto"/>
            </w:pPr>
            <w:r>
              <w:t>554</w:t>
            </w:r>
          </w:p>
        </w:tc>
      </w:tr>
      <w:tr w:rsidR="0042590D" w14:paraId="2F759CBF" w14:textId="77777777" w:rsidTr="00611DE5">
        <w:tc>
          <w:tcPr>
            <w:tcW w:w="3738" w:type="dxa"/>
          </w:tcPr>
          <w:p w14:paraId="5276B0E6" w14:textId="77777777" w:rsidR="0042590D" w:rsidRDefault="0042590D" w:rsidP="00611DE5">
            <w:pPr>
              <w:spacing w:line="240" w:lineRule="auto"/>
            </w:pPr>
            <w:r>
              <w:t xml:space="preserve">Fife </w:t>
            </w:r>
          </w:p>
        </w:tc>
        <w:tc>
          <w:tcPr>
            <w:tcW w:w="3351" w:type="dxa"/>
          </w:tcPr>
          <w:p w14:paraId="2E6D3ACD" w14:textId="77777777" w:rsidR="0042590D" w:rsidRDefault="0042590D" w:rsidP="00611DE5">
            <w:pPr>
              <w:spacing w:line="240" w:lineRule="auto"/>
            </w:pPr>
            <w:r>
              <w:t>765</w:t>
            </w:r>
          </w:p>
        </w:tc>
      </w:tr>
      <w:tr w:rsidR="0042590D" w14:paraId="0CAC4CB0" w14:textId="77777777" w:rsidTr="00611DE5">
        <w:tc>
          <w:tcPr>
            <w:tcW w:w="3738" w:type="dxa"/>
          </w:tcPr>
          <w:p w14:paraId="4E0B0FCC" w14:textId="77777777" w:rsidR="0042590D" w:rsidRDefault="0042590D" w:rsidP="00611DE5">
            <w:pPr>
              <w:spacing w:line="240" w:lineRule="auto"/>
            </w:pPr>
            <w:r>
              <w:t xml:space="preserve">Lanarkshire </w:t>
            </w:r>
          </w:p>
        </w:tc>
        <w:tc>
          <w:tcPr>
            <w:tcW w:w="3351" w:type="dxa"/>
          </w:tcPr>
          <w:p w14:paraId="1969D8BB" w14:textId="77777777" w:rsidR="0042590D" w:rsidRDefault="0042590D" w:rsidP="00611DE5">
            <w:pPr>
              <w:spacing w:line="240" w:lineRule="auto"/>
            </w:pPr>
            <w:r>
              <w:t>3,376</w:t>
            </w:r>
          </w:p>
        </w:tc>
      </w:tr>
      <w:tr w:rsidR="0042590D" w14:paraId="72314475" w14:textId="77777777" w:rsidTr="00611DE5">
        <w:tc>
          <w:tcPr>
            <w:tcW w:w="3738" w:type="dxa"/>
          </w:tcPr>
          <w:p w14:paraId="4906ABBE" w14:textId="77777777" w:rsidR="0042590D" w:rsidRDefault="0042590D" w:rsidP="00611DE5">
            <w:pPr>
              <w:spacing w:line="240" w:lineRule="auto"/>
            </w:pPr>
            <w:r>
              <w:t xml:space="preserve">Ayrshire </w:t>
            </w:r>
          </w:p>
        </w:tc>
        <w:tc>
          <w:tcPr>
            <w:tcW w:w="3351" w:type="dxa"/>
          </w:tcPr>
          <w:p w14:paraId="1FF76D85" w14:textId="77777777" w:rsidR="0042590D" w:rsidRDefault="0042590D" w:rsidP="00611DE5">
            <w:pPr>
              <w:spacing w:line="240" w:lineRule="auto"/>
            </w:pPr>
            <w:r>
              <w:t>1,036</w:t>
            </w:r>
          </w:p>
        </w:tc>
      </w:tr>
      <w:tr w:rsidR="0042590D" w14:paraId="29DA4398" w14:textId="77777777" w:rsidTr="00611DE5">
        <w:tc>
          <w:tcPr>
            <w:tcW w:w="3738" w:type="dxa"/>
          </w:tcPr>
          <w:p w14:paraId="671C1EBC" w14:textId="77777777" w:rsidR="0042590D" w:rsidRDefault="0042590D" w:rsidP="00611DE5">
            <w:pPr>
              <w:spacing w:line="240" w:lineRule="auto"/>
            </w:pPr>
            <w:r>
              <w:t xml:space="preserve">Dumfries and Galloway </w:t>
            </w:r>
          </w:p>
        </w:tc>
        <w:tc>
          <w:tcPr>
            <w:tcW w:w="3351" w:type="dxa"/>
          </w:tcPr>
          <w:p w14:paraId="3CD3F13B" w14:textId="77777777" w:rsidR="0042590D" w:rsidRDefault="0042590D" w:rsidP="00611DE5">
            <w:pPr>
              <w:spacing w:line="240" w:lineRule="auto"/>
            </w:pPr>
            <w:r>
              <w:t>345</w:t>
            </w:r>
          </w:p>
        </w:tc>
      </w:tr>
      <w:tr w:rsidR="0042590D" w14:paraId="2DF3615D" w14:textId="77777777" w:rsidTr="00611DE5">
        <w:tc>
          <w:tcPr>
            <w:tcW w:w="3738" w:type="dxa"/>
          </w:tcPr>
          <w:p w14:paraId="355FEBEC" w14:textId="77777777" w:rsidR="0042590D" w:rsidRDefault="0042590D" w:rsidP="00611DE5">
            <w:pPr>
              <w:spacing w:line="240" w:lineRule="auto"/>
            </w:pPr>
            <w:r>
              <w:t>Total</w:t>
            </w:r>
          </w:p>
        </w:tc>
        <w:tc>
          <w:tcPr>
            <w:tcW w:w="3351" w:type="dxa"/>
          </w:tcPr>
          <w:p w14:paraId="3BEA7E13" w14:textId="77777777" w:rsidR="0042590D" w:rsidRDefault="0042590D" w:rsidP="00611DE5">
            <w:pPr>
              <w:spacing w:line="240" w:lineRule="auto"/>
            </w:pPr>
            <w:r>
              <w:t>24,712</w:t>
            </w:r>
          </w:p>
        </w:tc>
      </w:tr>
    </w:tbl>
    <w:p w14:paraId="4CAA8E65" w14:textId="77777777" w:rsidR="0042590D" w:rsidRDefault="0042590D" w:rsidP="00793DD5"/>
    <w:p w14:paraId="1013922B" w14:textId="10854BA0" w:rsidR="0042590D" w:rsidRDefault="0042590D" w:rsidP="00793DD5">
      <w:r w:rsidRPr="0042590D">
        <w:t>All statistics are provisional and should be treated as management information. All data have been extracted from Police Scotland internal systems and are correct as at 10/06/2024.</w:t>
      </w:r>
    </w:p>
    <w:p w14:paraId="41CC435B" w14:textId="192CE2F8" w:rsidR="0042590D" w:rsidRDefault="0042590D" w:rsidP="00793DD5">
      <w:r w:rsidRPr="0042590D">
        <w:t>1 - The above data is sourced from Divis</w:t>
      </w:r>
      <w:r w:rsidR="00D66092">
        <w:t>i</w:t>
      </w:r>
      <w:r w:rsidRPr="0042590D">
        <w:t>onal Crime Management systems and Legacy Strathclyde E3201 database.</w:t>
      </w:r>
    </w:p>
    <w:p w14:paraId="0BAF19B6" w14:textId="79A18357" w:rsidR="0042590D" w:rsidRDefault="0042590D" w:rsidP="00793DD5">
      <w:r w:rsidRPr="0042590D">
        <w:t>2 - For records extracted from the E3201 table the offenc</w:t>
      </w:r>
      <w:r>
        <w:t xml:space="preserve">e </w:t>
      </w:r>
      <w:r w:rsidRPr="0042590D">
        <w:t>date was used, for records extracted from the crime management system the Date</w:t>
      </w:r>
      <w:r>
        <w:t xml:space="preserve"> r</w:t>
      </w:r>
      <w:r w:rsidRPr="0042590D">
        <w:t>aised was used.</w:t>
      </w:r>
    </w:p>
    <w:sectPr w:rsidR="0042590D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194FA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F2E4E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8697D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A0382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45EEF4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2BD52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D99"/>
    <w:multiLevelType w:val="hybridMultilevel"/>
    <w:tmpl w:val="71D2F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75F3"/>
    <w:multiLevelType w:val="hybridMultilevel"/>
    <w:tmpl w:val="5DC4A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524D"/>
    <w:multiLevelType w:val="hybridMultilevel"/>
    <w:tmpl w:val="2FD0C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278DB"/>
    <w:multiLevelType w:val="hybridMultilevel"/>
    <w:tmpl w:val="6FD47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6920"/>
    <w:multiLevelType w:val="hybridMultilevel"/>
    <w:tmpl w:val="76064B94"/>
    <w:lvl w:ilvl="0" w:tplc="BCD61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1C9A"/>
    <w:multiLevelType w:val="hybridMultilevel"/>
    <w:tmpl w:val="AF82B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C0145"/>
    <w:multiLevelType w:val="hybridMultilevel"/>
    <w:tmpl w:val="CFBE60EE"/>
    <w:lvl w:ilvl="0" w:tplc="D9485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E3CB4"/>
    <w:multiLevelType w:val="hybridMultilevel"/>
    <w:tmpl w:val="758A9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8"/>
  </w:num>
  <w:num w:numId="2" w16cid:durableId="1577587596">
    <w:abstractNumId w:val="2"/>
  </w:num>
  <w:num w:numId="3" w16cid:durableId="1077359664">
    <w:abstractNumId w:val="4"/>
  </w:num>
  <w:num w:numId="4" w16cid:durableId="193690553">
    <w:abstractNumId w:val="3"/>
  </w:num>
  <w:num w:numId="5" w16cid:durableId="443501390">
    <w:abstractNumId w:val="7"/>
  </w:num>
  <w:num w:numId="6" w16cid:durableId="1631739351">
    <w:abstractNumId w:val="0"/>
  </w:num>
  <w:num w:numId="7" w16cid:durableId="2056730081">
    <w:abstractNumId w:val="1"/>
  </w:num>
  <w:num w:numId="8" w16cid:durableId="2066832742">
    <w:abstractNumId w:val="6"/>
  </w:num>
  <w:num w:numId="9" w16cid:durableId="1234240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3E2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2590D"/>
    <w:rsid w:val="004341F0"/>
    <w:rsid w:val="00456324"/>
    <w:rsid w:val="00475460"/>
    <w:rsid w:val="00490317"/>
    <w:rsid w:val="00491644"/>
    <w:rsid w:val="00496A08"/>
    <w:rsid w:val="004A6A77"/>
    <w:rsid w:val="004E1605"/>
    <w:rsid w:val="004F653C"/>
    <w:rsid w:val="005072D8"/>
    <w:rsid w:val="00540A52"/>
    <w:rsid w:val="00557306"/>
    <w:rsid w:val="00602590"/>
    <w:rsid w:val="00611DE5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13F4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1581F"/>
    <w:rsid w:val="00D27DC5"/>
    <w:rsid w:val="00D340B6"/>
    <w:rsid w:val="00D47E36"/>
    <w:rsid w:val="00D66092"/>
    <w:rsid w:val="00E004C1"/>
    <w:rsid w:val="00E26CC4"/>
    <w:rsid w:val="00E55D79"/>
    <w:rsid w:val="00E90585"/>
    <w:rsid w:val="00EE2373"/>
    <w:rsid w:val="00EF37F8"/>
    <w:rsid w:val="00EF4761"/>
    <w:rsid w:val="00F21D44"/>
    <w:rsid w:val="00FC0F5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6</cp:revision>
  <cp:lastPrinted>2024-06-12T14:29:00Z</cp:lastPrinted>
  <dcterms:created xsi:type="dcterms:W3CDTF">2024-06-11T14:28:00Z</dcterms:created>
  <dcterms:modified xsi:type="dcterms:W3CDTF">2024-06-12T14:30:00Z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