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8EFAF2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C358E">
              <w:t>3508</w:t>
            </w:r>
          </w:p>
          <w:p w14:paraId="34BDABA6" w14:textId="6AACFBA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F62CE">
              <w:t>10</w:t>
            </w:r>
            <w:r w:rsidR="006D5799">
              <w:t xml:space="preserve"> </w:t>
            </w:r>
            <w:r w:rsidR="00A32524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4C3C15D" w14:textId="3109FD52" w:rsidR="005F782E" w:rsidRPr="005F782E" w:rsidRDefault="003C358E" w:rsidP="00CE3943">
      <w:pPr>
        <w:pStyle w:val="Heading2"/>
      </w:pPr>
      <w:r w:rsidRPr="003C358E">
        <w:t xml:space="preserve">For the period from 1st January 2022 to date I would like to know how many officers have submitted secondary business interest applications, </w:t>
      </w:r>
    </w:p>
    <w:p w14:paraId="3562FA17" w14:textId="6748061B" w:rsidR="005F782E" w:rsidRPr="005F782E" w:rsidRDefault="003C358E" w:rsidP="00CE3943">
      <w:pPr>
        <w:pStyle w:val="Heading2"/>
      </w:pPr>
      <w:r w:rsidRPr="003C358E">
        <w:t>How many officers were refused, denied, declined permission for their application,</w:t>
      </w:r>
    </w:p>
    <w:p w14:paraId="78C13EAC" w14:textId="77CC7770" w:rsidR="003C358E" w:rsidRDefault="003C358E" w:rsidP="003C358E">
      <w:pPr>
        <w:pStyle w:val="Heading2"/>
      </w:pPr>
      <w:r w:rsidRPr="003C358E">
        <w:t>The reasons why their application was denied.</w:t>
      </w:r>
    </w:p>
    <w:p w14:paraId="25EB214E" w14:textId="77777777" w:rsidR="00CE3943" w:rsidRDefault="00CE3943" w:rsidP="00CE3943">
      <w:pPr>
        <w:pStyle w:val="Heading2"/>
      </w:pPr>
      <w:r w:rsidRPr="003C358E">
        <w:t>The number of secondary business interest applications denied for officers in each Division.</w:t>
      </w:r>
    </w:p>
    <w:p w14:paraId="29B3E971" w14:textId="082A4861" w:rsidR="00CE3943" w:rsidRDefault="00CE3943" w:rsidP="00CE3943">
      <w:pPr>
        <w:jc w:val="both"/>
      </w:pPr>
      <w:r>
        <w:t>Unfortunately,</w:t>
      </w:r>
      <w:r w:rsidRPr="00453F0A">
        <w:t xml:space="preserve"> I </w:t>
      </w:r>
      <w:r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these requests.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472F9164" w14:textId="5E789891" w:rsidR="00874AEB" w:rsidRDefault="00CE3943" w:rsidP="00874AEB">
      <w:r>
        <w:t xml:space="preserve">By way of explanation, </w:t>
      </w:r>
      <w:r w:rsidR="00372A9A">
        <w:t xml:space="preserve">I can advise that </w:t>
      </w:r>
      <w:r w:rsidR="00874AEB">
        <w:t xml:space="preserve">although the total number of approved secondary business interest applications are centrally recorded, the total number of </w:t>
      </w:r>
      <w:r w:rsidR="00874AEB" w:rsidRPr="00874AEB">
        <w:rPr>
          <w:b/>
          <w:bCs/>
        </w:rPr>
        <w:t>submitted</w:t>
      </w:r>
      <w:r w:rsidR="00874AEB">
        <w:t xml:space="preserve"> and </w:t>
      </w:r>
      <w:r w:rsidR="00874AEB" w:rsidRPr="00874AEB">
        <w:rPr>
          <w:b/>
          <w:bCs/>
        </w:rPr>
        <w:t>refused</w:t>
      </w:r>
      <w:r w:rsidR="00874AEB">
        <w:t xml:space="preserve"> applications are not. </w:t>
      </w:r>
    </w:p>
    <w:p w14:paraId="1A453640" w14:textId="78C58E03" w:rsidR="000C4874" w:rsidRDefault="00E961D5" w:rsidP="00874AEB">
      <w:pPr>
        <w:jc w:val="both"/>
      </w:pPr>
      <w:r>
        <w:t>Therefore</w:t>
      </w:r>
      <w:r w:rsidR="00874AEB">
        <w:t xml:space="preserve">, the only way to provide an accurate and consistent response to your requests would be to </w:t>
      </w:r>
      <w:r>
        <w:t>contact each individual police division</w:t>
      </w:r>
      <w:r w:rsidR="00C329A6">
        <w:t>, all of whom would have</w:t>
      </w:r>
      <w:r w:rsidR="000C4874">
        <w:t xml:space="preserve"> to calculate the number of applications received from 1 January 2022 onwards as well as manually review every </w:t>
      </w:r>
      <w:r w:rsidR="00671BD4">
        <w:t xml:space="preserve">refused application case-by-case to ascertain the </w:t>
      </w:r>
      <w:r w:rsidR="00E2238F">
        <w:t xml:space="preserve">specific </w:t>
      </w:r>
      <w:r w:rsidR="00671BD4">
        <w:t xml:space="preserve">reason/s for refusal. </w:t>
      </w:r>
    </w:p>
    <w:p w14:paraId="65C29FF6" w14:textId="318A49A1" w:rsidR="00212FEC" w:rsidRDefault="00671BD4" w:rsidP="00671BD4">
      <w:pPr>
        <w:jc w:val="both"/>
      </w:pPr>
      <w:r>
        <w:t xml:space="preserve">Given the volume of application that would be required to be collated and then assessed for the nearly four-year period </w:t>
      </w:r>
      <w:r w:rsidR="00E2238F">
        <w:t>requested</w:t>
      </w:r>
      <w:r>
        <w:t xml:space="preserve">, </w:t>
      </w:r>
      <w:r w:rsidR="00212FEC" w:rsidRPr="00212FEC">
        <w:t>this exercise would far exceed the cost limit set out in the Fees Regulations.</w:t>
      </w:r>
    </w:p>
    <w:p w14:paraId="030E9BDE" w14:textId="77777777" w:rsidR="00671BD4" w:rsidRPr="005F782E" w:rsidRDefault="00671BD4" w:rsidP="00671BD4">
      <w:pPr>
        <w:jc w:val="both"/>
      </w:pPr>
    </w:p>
    <w:p w14:paraId="288E4D5D" w14:textId="77777777" w:rsidR="003C358E" w:rsidRDefault="003C358E" w:rsidP="003C358E">
      <w:pPr>
        <w:pStyle w:val="Heading2"/>
      </w:pPr>
      <w:r w:rsidRPr="003C358E">
        <w:t>How many officers have more than one secondary business approved.</w:t>
      </w:r>
    </w:p>
    <w:p w14:paraId="2794C506" w14:textId="25C56347" w:rsidR="005F782E" w:rsidRDefault="00472DFB" w:rsidP="005F782E">
      <w:r>
        <w:t>From 1 January 2022 to 12 November 2025, there have been 121 officers with more than one external business interest.</w:t>
      </w:r>
    </w:p>
    <w:p w14:paraId="0406396A" w14:textId="77777777" w:rsidR="00472DFB" w:rsidRPr="005F782E" w:rsidRDefault="00472DFB" w:rsidP="005F782E"/>
    <w:p w14:paraId="763AAC71" w14:textId="77777777" w:rsidR="003C358E" w:rsidRDefault="003C358E" w:rsidP="003C358E">
      <w:pPr>
        <w:pStyle w:val="Heading2"/>
      </w:pPr>
      <w:r w:rsidRPr="003C358E">
        <w:t>The number of approved secondary business interests by rank.</w:t>
      </w:r>
    </w:p>
    <w:p w14:paraId="09987B4A" w14:textId="67E37D28" w:rsidR="00472DFB" w:rsidRPr="00472DFB" w:rsidRDefault="00472DFB" w:rsidP="00472DFB">
      <w:r>
        <w:t>The table below details the number of officers with an external business interest broken down by rank from 1 January 2022 to 12 November 2025, inclusive:</w:t>
      </w:r>
    </w:p>
    <w:tbl>
      <w:tblPr>
        <w:tblStyle w:val="TableGrid"/>
        <w:tblW w:w="7792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949"/>
        <w:gridCol w:w="1843"/>
      </w:tblGrid>
      <w:tr w:rsidR="00C602A9" w:rsidRPr="00557306" w14:paraId="28E967CD" w14:textId="77777777" w:rsidTr="00C602A9">
        <w:trPr>
          <w:tblHeader/>
        </w:trPr>
        <w:tc>
          <w:tcPr>
            <w:tcW w:w="5949" w:type="dxa"/>
            <w:shd w:val="clear" w:color="auto" w:fill="D9D9D9" w:themeFill="background1" w:themeFillShade="D9"/>
          </w:tcPr>
          <w:p w14:paraId="76239F6C" w14:textId="0CDC6F89" w:rsidR="00C602A9" w:rsidRPr="00557306" w:rsidRDefault="00C602A9" w:rsidP="00C602A9">
            <w:pPr>
              <w:spacing w:line="240" w:lineRule="auto"/>
              <w:rPr>
                <w:b/>
              </w:rPr>
            </w:pPr>
            <w:r>
              <w:rPr>
                <w:b/>
              </w:rPr>
              <w:t>Police Officer Rank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AD4980" w14:textId="456F766E" w:rsidR="00C602A9" w:rsidRPr="00557306" w:rsidRDefault="00C602A9" w:rsidP="00C602A9">
            <w:pPr>
              <w:spacing w:line="240" w:lineRule="auto"/>
              <w:jc w:val="center"/>
              <w:rPr>
                <w:b/>
              </w:rPr>
            </w:pPr>
            <w:r w:rsidRPr="00557306">
              <w:rPr>
                <w:b/>
              </w:rPr>
              <w:t>Head</w:t>
            </w:r>
            <w:r>
              <w:rPr>
                <w:b/>
              </w:rPr>
              <w:t>count</w:t>
            </w:r>
          </w:p>
        </w:tc>
      </w:tr>
      <w:tr w:rsidR="00C602A9" w14:paraId="500F785C" w14:textId="77777777" w:rsidTr="00C602A9">
        <w:tc>
          <w:tcPr>
            <w:tcW w:w="5949" w:type="dxa"/>
          </w:tcPr>
          <w:p w14:paraId="1D3FF512" w14:textId="03D41F24" w:rsidR="00C602A9" w:rsidRDefault="00C602A9" w:rsidP="00C602A9">
            <w:pPr>
              <w:tabs>
                <w:tab w:val="left" w:pos="5400"/>
              </w:tabs>
              <w:spacing w:line="240" w:lineRule="auto"/>
            </w:pPr>
            <w:r>
              <w:t>Executive</w:t>
            </w:r>
          </w:p>
        </w:tc>
        <w:tc>
          <w:tcPr>
            <w:tcW w:w="1843" w:type="dxa"/>
          </w:tcPr>
          <w:p w14:paraId="39A985F6" w14:textId="7BBB4FB6" w:rsidR="00C602A9" w:rsidRDefault="00C602A9" w:rsidP="00C602A9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C602A9" w14:paraId="5F4F9025" w14:textId="77777777" w:rsidTr="00C602A9">
        <w:trPr>
          <w:trHeight w:val="70"/>
        </w:trPr>
        <w:tc>
          <w:tcPr>
            <w:tcW w:w="5949" w:type="dxa"/>
          </w:tcPr>
          <w:p w14:paraId="309B8446" w14:textId="601F40B0" w:rsidR="00C602A9" w:rsidRDefault="00C602A9" w:rsidP="00C602A9">
            <w:pPr>
              <w:tabs>
                <w:tab w:val="left" w:pos="5400"/>
              </w:tabs>
              <w:spacing w:line="240" w:lineRule="auto"/>
            </w:pPr>
            <w:r>
              <w:t>Chief Superintendent/ Detective Chief Superintendent</w:t>
            </w:r>
          </w:p>
        </w:tc>
        <w:tc>
          <w:tcPr>
            <w:tcW w:w="1843" w:type="dxa"/>
          </w:tcPr>
          <w:p w14:paraId="592E4666" w14:textId="5403EAA4" w:rsidR="00C602A9" w:rsidRDefault="00C602A9" w:rsidP="00C602A9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C602A9" w14:paraId="48FB4CE8" w14:textId="77777777" w:rsidTr="00C602A9">
        <w:trPr>
          <w:trHeight w:val="70"/>
        </w:trPr>
        <w:tc>
          <w:tcPr>
            <w:tcW w:w="5949" w:type="dxa"/>
          </w:tcPr>
          <w:p w14:paraId="047D301F" w14:textId="2A017AE7" w:rsidR="00C602A9" w:rsidRDefault="00C602A9" w:rsidP="00C602A9">
            <w:pPr>
              <w:tabs>
                <w:tab w:val="left" w:pos="5400"/>
              </w:tabs>
              <w:spacing w:line="240" w:lineRule="auto"/>
            </w:pPr>
            <w:r>
              <w:t>Superintendent/ Detective Superintendent</w:t>
            </w:r>
          </w:p>
        </w:tc>
        <w:tc>
          <w:tcPr>
            <w:tcW w:w="1843" w:type="dxa"/>
          </w:tcPr>
          <w:p w14:paraId="51ABDAF2" w14:textId="779B4353" w:rsidR="00C602A9" w:rsidRDefault="00C602A9" w:rsidP="00C602A9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</w:p>
        </w:tc>
      </w:tr>
      <w:tr w:rsidR="00C602A9" w14:paraId="6423AABD" w14:textId="77777777" w:rsidTr="00C602A9">
        <w:trPr>
          <w:trHeight w:val="70"/>
        </w:trPr>
        <w:tc>
          <w:tcPr>
            <w:tcW w:w="5949" w:type="dxa"/>
          </w:tcPr>
          <w:p w14:paraId="6BC235B2" w14:textId="1A72B440" w:rsidR="00C602A9" w:rsidRDefault="00C602A9" w:rsidP="00C602A9">
            <w:pPr>
              <w:tabs>
                <w:tab w:val="left" w:pos="5400"/>
              </w:tabs>
              <w:spacing w:line="240" w:lineRule="auto"/>
            </w:pPr>
            <w:r>
              <w:t xml:space="preserve">Chief Inspector/ Detective Chief Inspector </w:t>
            </w:r>
          </w:p>
        </w:tc>
        <w:tc>
          <w:tcPr>
            <w:tcW w:w="1843" w:type="dxa"/>
          </w:tcPr>
          <w:p w14:paraId="1492F091" w14:textId="3D79C0B6" w:rsidR="00C602A9" w:rsidRDefault="00C602A9" w:rsidP="00C602A9">
            <w:pPr>
              <w:tabs>
                <w:tab w:val="left" w:pos="5400"/>
              </w:tabs>
              <w:spacing w:line="240" w:lineRule="auto"/>
              <w:jc w:val="right"/>
            </w:pPr>
            <w:r>
              <w:t>24</w:t>
            </w:r>
          </w:p>
        </w:tc>
      </w:tr>
      <w:tr w:rsidR="00C602A9" w14:paraId="51154171" w14:textId="77777777" w:rsidTr="00C602A9">
        <w:trPr>
          <w:trHeight w:val="70"/>
        </w:trPr>
        <w:tc>
          <w:tcPr>
            <w:tcW w:w="5949" w:type="dxa"/>
          </w:tcPr>
          <w:p w14:paraId="6035BCF5" w14:textId="15D4B707" w:rsidR="00C602A9" w:rsidRDefault="00C602A9" w:rsidP="00C602A9">
            <w:pPr>
              <w:tabs>
                <w:tab w:val="left" w:pos="5400"/>
              </w:tabs>
              <w:spacing w:line="240" w:lineRule="auto"/>
            </w:pPr>
            <w:r>
              <w:t>Inspector/ Detective Inspector</w:t>
            </w:r>
          </w:p>
        </w:tc>
        <w:tc>
          <w:tcPr>
            <w:tcW w:w="1843" w:type="dxa"/>
          </w:tcPr>
          <w:p w14:paraId="089ED9C6" w14:textId="512754AC" w:rsidR="00C602A9" w:rsidRDefault="00C602A9" w:rsidP="00C602A9">
            <w:pPr>
              <w:tabs>
                <w:tab w:val="left" w:pos="5400"/>
              </w:tabs>
              <w:spacing w:line="240" w:lineRule="auto"/>
              <w:jc w:val="right"/>
            </w:pPr>
            <w:r>
              <w:t>79</w:t>
            </w:r>
          </w:p>
        </w:tc>
      </w:tr>
      <w:tr w:rsidR="00C602A9" w14:paraId="4C1F04EA" w14:textId="77777777" w:rsidTr="00C602A9">
        <w:trPr>
          <w:trHeight w:val="70"/>
        </w:trPr>
        <w:tc>
          <w:tcPr>
            <w:tcW w:w="5949" w:type="dxa"/>
          </w:tcPr>
          <w:p w14:paraId="377C74F4" w14:textId="6CE825E6" w:rsidR="00C602A9" w:rsidRDefault="00C602A9" w:rsidP="00C602A9">
            <w:pPr>
              <w:tabs>
                <w:tab w:val="left" w:pos="5400"/>
              </w:tabs>
              <w:spacing w:line="240" w:lineRule="auto"/>
            </w:pPr>
            <w:r>
              <w:t>Sergeant/ Detective Sergeant</w:t>
            </w:r>
          </w:p>
        </w:tc>
        <w:tc>
          <w:tcPr>
            <w:tcW w:w="1843" w:type="dxa"/>
          </w:tcPr>
          <w:p w14:paraId="3C9F7382" w14:textId="2102CA1D" w:rsidR="00C602A9" w:rsidRDefault="00C602A9" w:rsidP="00C602A9">
            <w:pPr>
              <w:tabs>
                <w:tab w:val="left" w:pos="5400"/>
              </w:tabs>
              <w:spacing w:line="240" w:lineRule="auto"/>
              <w:jc w:val="right"/>
            </w:pPr>
            <w:r>
              <w:t>190</w:t>
            </w:r>
          </w:p>
        </w:tc>
      </w:tr>
      <w:tr w:rsidR="00C602A9" w14:paraId="139C4148" w14:textId="77777777" w:rsidTr="00C602A9">
        <w:trPr>
          <w:trHeight w:val="70"/>
        </w:trPr>
        <w:tc>
          <w:tcPr>
            <w:tcW w:w="5949" w:type="dxa"/>
          </w:tcPr>
          <w:p w14:paraId="5D0C51CF" w14:textId="1C7E497B" w:rsidR="00C602A9" w:rsidRDefault="00C602A9" w:rsidP="00C602A9">
            <w:pPr>
              <w:tabs>
                <w:tab w:val="left" w:pos="5400"/>
              </w:tabs>
              <w:spacing w:line="240" w:lineRule="auto"/>
            </w:pPr>
            <w:r>
              <w:t xml:space="preserve">Constable/ Detective Constable </w:t>
            </w:r>
          </w:p>
        </w:tc>
        <w:tc>
          <w:tcPr>
            <w:tcW w:w="1843" w:type="dxa"/>
          </w:tcPr>
          <w:p w14:paraId="3CAB5302" w14:textId="2B3919A8" w:rsidR="00C602A9" w:rsidRDefault="00C602A9" w:rsidP="00C602A9">
            <w:pPr>
              <w:tabs>
                <w:tab w:val="left" w:pos="5400"/>
              </w:tabs>
              <w:spacing w:line="240" w:lineRule="auto"/>
              <w:jc w:val="right"/>
            </w:pPr>
            <w:r>
              <w:t>612</w:t>
            </w:r>
          </w:p>
        </w:tc>
      </w:tr>
      <w:tr w:rsidR="00C602A9" w14:paraId="7273A640" w14:textId="77777777" w:rsidTr="00C602A9">
        <w:trPr>
          <w:trHeight w:val="70"/>
        </w:trPr>
        <w:tc>
          <w:tcPr>
            <w:tcW w:w="5949" w:type="dxa"/>
            <w:shd w:val="clear" w:color="auto" w:fill="F2F2F2" w:themeFill="background1" w:themeFillShade="F2"/>
          </w:tcPr>
          <w:p w14:paraId="6C811A8E" w14:textId="489A083E" w:rsidR="00C602A9" w:rsidRDefault="00C602A9" w:rsidP="00C602A9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FE4AAA7" w14:textId="583B0492" w:rsidR="00C602A9" w:rsidRDefault="00C602A9" w:rsidP="00C602A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b/>
                <w:bCs/>
                <w:color w:val="000000"/>
              </w:rPr>
              <w:t>922</w:t>
            </w:r>
          </w:p>
        </w:tc>
      </w:tr>
    </w:tbl>
    <w:p w14:paraId="51BDC2CA" w14:textId="77777777" w:rsidR="00C602A9" w:rsidRDefault="00C602A9" w:rsidP="003C358E">
      <w:pPr>
        <w:pStyle w:val="Heading2"/>
      </w:pPr>
    </w:p>
    <w:p w14:paraId="43F66C14" w14:textId="33013E3F" w:rsidR="003C358E" w:rsidRDefault="003C358E" w:rsidP="003C358E">
      <w:pPr>
        <w:pStyle w:val="Heading2"/>
      </w:pPr>
      <w:r w:rsidRPr="003C358E">
        <w:t>The number of secondary business interest approved for officers in each Division of the Force.</w:t>
      </w:r>
    </w:p>
    <w:p w14:paraId="47AF3661" w14:textId="38687FCB" w:rsidR="0015639E" w:rsidRPr="00472DFB" w:rsidRDefault="0015639E" w:rsidP="0015639E">
      <w:r>
        <w:t>The table below details the number of officers with an external business interest broken down by division from 1 January 2022 to 12 November 2025, inclusive:</w:t>
      </w:r>
    </w:p>
    <w:tbl>
      <w:tblPr>
        <w:tblStyle w:val="TableGrid"/>
        <w:tblW w:w="920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7650"/>
        <w:gridCol w:w="1559"/>
      </w:tblGrid>
      <w:tr w:rsidR="0015639E" w:rsidRPr="00557306" w14:paraId="4FA53493" w14:textId="77777777" w:rsidTr="00E55A6A">
        <w:trPr>
          <w:tblHeader/>
        </w:trPr>
        <w:tc>
          <w:tcPr>
            <w:tcW w:w="7650" w:type="dxa"/>
            <w:shd w:val="clear" w:color="auto" w:fill="D9D9D9" w:themeFill="background1" w:themeFillShade="D9"/>
          </w:tcPr>
          <w:p w14:paraId="12734982" w14:textId="30C70EBB" w:rsidR="0015639E" w:rsidRPr="00557306" w:rsidRDefault="0015639E" w:rsidP="00C53F51">
            <w:pPr>
              <w:spacing w:line="240" w:lineRule="auto"/>
              <w:rPr>
                <w:b/>
              </w:rPr>
            </w:pPr>
            <w:r>
              <w:rPr>
                <w:b/>
              </w:rPr>
              <w:t>Police Scotland Division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BD7C4C9" w14:textId="77777777" w:rsidR="0015639E" w:rsidRPr="00557306" w:rsidRDefault="0015639E" w:rsidP="00C53F51">
            <w:pPr>
              <w:spacing w:line="240" w:lineRule="auto"/>
              <w:jc w:val="center"/>
              <w:rPr>
                <w:b/>
              </w:rPr>
            </w:pPr>
            <w:r w:rsidRPr="00557306">
              <w:rPr>
                <w:b/>
              </w:rPr>
              <w:t>Head</w:t>
            </w:r>
            <w:r>
              <w:rPr>
                <w:b/>
              </w:rPr>
              <w:t>count</w:t>
            </w:r>
          </w:p>
        </w:tc>
      </w:tr>
      <w:tr w:rsidR="0015639E" w14:paraId="69081490" w14:textId="77777777" w:rsidTr="00E55A6A">
        <w:tc>
          <w:tcPr>
            <w:tcW w:w="7650" w:type="dxa"/>
          </w:tcPr>
          <w:p w14:paraId="0FDED86D" w14:textId="50F7420D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‘A’ Division</w:t>
            </w:r>
          </w:p>
        </w:tc>
        <w:tc>
          <w:tcPr>
            <w:tcW w:w="1559" w:type="dxa"/>
          </w:tcPr>
          <w:p w14:paraId="73218C16" w14:textId="38ADC0B8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49</w:t>
            </w:r>
          </w:p>
        </w:tc>
      </w:tr>
      <w:tr w:rsidR="0015639E" w14:paraId="4A1F6958" w14:textId="77777777" w:rsidTr="00E55A6A">
        <w:trPr>
          <w:trHeight w:val="70"/>
        </w:trPr>
        <w:tc>
          <w:tcPr>
            <w:tcW w:w="7650" w:type="dxa"/>
          </w:tcPr>
          <w:p w14:paraId="7609B9CB" w14:textId="7CC71E12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‘D’ Division</w:t>
            </w:r>
          </w:p>
        </w:tc>
        <w:tc>
          <w:tcPr>
            <w:tcW w:w="1559" w:type="dxa"/>
          </w:tcPr>
          <w:p w14:paraId="6E2986A5" w14:textId="7DD98076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51</w:t>
            </w:r>
          </w:p>
        </w:tc>
      </w:tr>
      <w:tr w:rsidR="0015639E" w14:paraId="07B19976" w14:textId="77777777" w:rsidTr="00E55A6A">
        <w:trPr>
          <w:trHeight w:val="70"/>
        </w:trPr>
        <w:tc>
          <w:tcPr>
            <w:tcW w:w="7650" w:type="dxa"/>
          </w:tcPr>
          <w:p w14:paraId="3219231F" w14:textId="1C222CAD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‘N’ Division</w:t>
            </w:r>
          </w:p>
        </w:tc>
        <w:tc>
          <w:tcPr>
            <w:tcW w:w="1559" w:type="dxa"/>
          </w:tcPr>
          <w:p w14:paraId="0965210D" w14:textId="66189B6C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39</w:t>
            </w:r>
          </w:p>
        </w:tc>
      </w:tr>
      <w:tr w:rsidR="0015639E" w14:paraId="7E6D893C" w14:textId="77777777" w:rsidTr="00E55A6A">
        <w:trPr>
          <w:trHeight w:val="70"/>
        </w:trPr>
        <w:tc>
          <w:tcPr>
            <w:tcW w:w="7650" w:type="dxa"/>
          </w:tcPr>
          <w:p w14:paraId="4358FE03" w14:textId="590F6F60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‘C’ Division</w:t>
            </w:r>
          </w:p>
        </w:tc>
        <w:tc>
          <w:tcPr>
            <w:tcW w:w="1559" w:type="dxa"/>
          </w:tcPr>
          <w:p w14:paraId="48159121" w14:textId="40309A5B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20</w:t>
            </w:r>
          </w:p>
        </w:tc>
      </w:tr>
      <w:tr w:rsidR="0015639E" w14:paraId="2DBDB405" w14:textId="77777777" w:rsidTr="00E55A6A">
        <w:trPr>
          <w:trHeight w:val="70"/>
        </w:trPr>
        <w:tc>
          <w:tcPr>
            <w:tcW w:w="7650" w:type="dxa"/>
          </w:tcPr>
          <w:p w14:paraId="4B36B25D" w14:textId="239E5ECA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‘E’ Division</w:t>
            </w:r>
          </w:p>
        </w:tc>
        <w:tc>
          <w:tcPr>
            <w:tcW w:w="1559" w:type="dxa"/>
          </w:tcPr>
          <w:p w14:paraId="0C658576" w14:textId="0DA73B09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28</w:t>
            </w:r>
          </w:p>
        </w:tc>
      </w:tr>
      <w:tr w:rsidR="0015639E" w14:paraId="7E354E24" w14:textId="77777777" w:rsidTr="00E55A6A">
        <w:trPr>
          <w:trHeight w:val="70"/>
        </w:trPr>
        <w:tc>
          <w:tcPr>
            <w:tcW w:w="7650" w:type="dxa"/>
          </w:tcPr>
          <w:p w14:paraId="61AFE77A" w14:textId="63907EF7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‘J’ Division</w:t>
            </w:r>
          </w:p>
        </w:tc>
        <w:tc>
          <w:tcPr>
            <w:tcW w:w="1559" w:type="dxa"/>
          </w:tcPr>
          <w:p w14:paraId="34500DFC" w14:textId="3963BA80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55</w:t>
            </w:r>
          </w:p>
        </w:tc>
      </w:tr>
      <w:tr w:rsidR="0015639E" w14:paraId="6583CD3A" w14:textId="77777777" w:rsidTr="00E55A6A">
        <w:trPr>
          <w:trHeight w:val="70"/>
        </w:trPr>
        <w:tc>
          <w:tcPr>
            <w:tcW w:w="7650" w:type="dxa"/>
          </w:tcPr>
          <w:p w14:paraId="5E03B3DC" w14:textId="41F68223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‘P’ Division</w:t>
            </w:r>
          </w:p>
        </w:tc>
        <w:tc>
          <w:tcPr>
            <w:tcW w:w="1559" w:type="dxa"/>
          </w:tcPr>
          <w:p w14:paraId="4F17F7A1" w14:textId="28EB570D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19</w:t>
            </w:r>
          </w:p>
        </w:tc>
      </w:tr>
      <w:tr w:rsidR="0015639E" w14:paraId="37BD56ED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0C651FF0" w14:textId="67775B7F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‘G’ Division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1E86E2F3" w14:textId="68FE05CE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105</w:t>
            </w:r>
          </w:p>
        </w:tc>
      </w:tr>
      <w:tr w:rsidR="0015639E" w14:paraId="37A53483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6A1B0D80" w14:textId="74319489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lastRenderedPageBreak/>
              <w:t>‘K’ Division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2AE1E89A" w14:textId="2D1C50C5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24</w:t>
            </w:r>
          </w:p>
        </w:tc>
      </w:tr>
      <w:tr w:rsidR="0015639E" w14:paraId="0705FD15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57DC53E4" w14:textId="325358EE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‘L’ Division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3A8B248D" w14:textId="42876140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25</w:t>
            </w:r>
          </w:p>
        </w:tc>
      </w:tr>
      <w:tr w:rsidR="0015639E" w14:paraId="47B4D640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0BCAC987" w14:textId="5EAAB654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‘Q’ Division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1EAAC" w14:textId="5621ABCD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56</w:t>
            </w:r>
          </w:p>
        </w:tc>
      </w:tr>
      <w:tr w:rsidR="0015639E" w14:paraId="77835BE3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7F8C2233" w14:textId="64C8B7E7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‘U’ Division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3E08ED46" w14:textId="0344105C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25</w:t>
            </w:r>
          </w:p>
        </w:tc>
      </w:tr>
      <w:tr w:rsidR="0015639E" w14:paraId="1F43DD8A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0568FBEB" w14:textId="65343B10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‘V’ Division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279521F1" w14:textId="1FCAC403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22</w:t>
            </w:r>
          </w:p>
        </w:tc>
      </w:tr>
      <w:tr w:rsidR="0015639E" w14:paraId="39EF93B6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0996B973" w14:textId="588F7CE9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Contact Command Control Division</w:t>
            </w:r>
            <w:r w:rsidR="00E55A6A">
              <w:t xml:space="preserve"> (C3)</w:t>
            </w:r>
          </w:p>
        </w:tc>
        <w:tc>
          <w:tcPr>
            <w:tcW w:w="1559" w:type="dxa"/>
            <w:shd w:val="clear" w:color="auto" w:fill="FFFFFF" w:themeFill="background1"/>
          </w:tcPr>
          <w:p w14:paraId="76551ABC" w14:textId="48585421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46</w:t>
            </w:r>
          </w:p>
        </w:tc>
      </w:tr>
      <w:tr w:rsidR="0015639E" w14:paraId="6288A0CA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370278DF" w14:textId="7FA06315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Corporate Services Division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74E3CEFC" w14:textId="47060873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66</w:t>
            </w:r>
          </w:p>
        </w:tc>
      </w:tr>
      <w:tr w:rsidR="0015639E" w14:paraId="5882194D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2E8D6057" w14:textId="45D42641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Criminal Justice Services Division</w:t>
            </w:r>
            <w:r w:rsidR="00E55A6A">
              <w:t xml:space="preserve"> (CJSD)</w:t>
            </w:r>
          </w:p>
        </w:tc>
        <w:tc>
          <w:tcPr>
            <w:tcW w:w="1559" w:type="dxa"/>
            <w:shd w:val="clear" w:color="auto" w:fill="FFFFFF" w:themeFill="background1"/>
          </w:tcPr>
          <w:p w14:paraId="00B5C639" w14:textId="1E07CEBA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20</w:t>
            </w:r>
          </w:p>
        </w:tc>
      </w:tr>
      <w:tr w:rsidR="0015639E" w14:paraId="1135731F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2492A9A3" w14:textId="1978DCBB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Operational Support Division</w:t>
            </w:r>
            <w:r w:rsidR="00E55A6A">
              <w:t xml:space="preserve"> (OSD)</w:t>
            </w:r>
          </w:p>
        </w:tc>
        <w:tc>
          <w:tcPr>
            <w:tcW w:w="1559" w:type="dxa"/>
            <w:shd w:val="clear" w:color="auto" w:fill="FFFFFF" w:themeFill="background1"/>
          </w:tcPr>
          <w:p w14:paraId="2982925B" w14:textId="0773076F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86</w:t>
            </w:r>
          </w:p>
        </w:tc>
      </w:tr>
      <w:tr w:rsidR="0015639E" w14:paraId="0E7BD891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4A8E195E" w14:textId="681A4636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Partnerships Prevention and Community Wellbeing Division</w:t>
            </w:r>
            <w:r w:rsidR="00E55A6A">
              <w:t xml:space="preserve"> (PPCW)</w:t>
            </w:r>
          </w:p>
        </w:tc>
        <w:tc>
          <w:tcPr>
            <w:tcW w:w="1559" w:type="dxa"/>
            <w:shd w:val="clear" w:color="auto" w:fill="FFFFFF" w:themeFill="background1"/>
          </w:tcPr>
          <w:p w14:paraId="48701253" w14:textId="4BDC01F1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16</w:t>
            </w:r>
          </w:p>
        </w:tc>
      </w:tr>
      <w:tr w:rsidR="0015639E" w14:paraId="47BFEBEE" w14:textId="77777777" w:rsidTr="00E55A6A">
        <w:trPr>
          <w:trHeight w:val="70"/>
        </w:trPr>
        <w:tc>
          <w:tcPr>
            <w:tcW w:w="7650" w:type="dxa"/>
            <w:shd w:val="clear" w:color="auto" w:fill="FFFFFF" w:themeFill="background1"/>
          </w:tcPr>
          <w:p w14:paraId="402FE10F" w14:textId="1626B1A7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t>Specialist Crime Division</w:t>
            </w:r>
            <w:r w:rsidR="00E55A6A">
              <w:t xml:space="preserve"> (SCD)</w:t>
            </w:r>
          </w:p>
        </w:tc>
        <w:tc>
          <w:tcPr>
            <w:tcW w:w="1559" w:type="dxa"/>
            <w:shd w:val="clear" w:color="auto" w:fill="FFFFFF" w:themeFill="background1"/>
          </w:tcPr>
          <w:p w14:paraId="07D9C0A3" w14:textId="7A9F224B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t>170</w:t>
            </w:r>
          </w:p>
        </w:tc>
      </w:tr>
      <w:tr w:rsidR="0015639E" w14:paraId="1110E57A" w14:textId="77777777" w:rsidTr="00E55A6A">
        <w:trPr>
          <w:trHeight w:val="70"/>
        </w:trPr>
        <w:tc>
          <w:tcPr>
            <w:tcW w:w="7650" w:type="dxa"/>
            <w:shd w:val="clear" w:color="auto" w:fill="F2F2F2" w:themeFill="background1" w:themeFillShade="F2"/>
          </w:tcPr>
          <w:p w14:paraId="28CAE493" w14:textId="45F3852A" w:rsidR="0015639E" w:rsidRDefault="0015639E" w:rsidP="0015639E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AAFB073" w14:textId="2A488815" w:rsidR="0015639E" w:rsidRDefault="0015639E" w:rsidP="0015639E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b/>
                <w:bCs/>
                <w:color w:val="000000"/>
              </w:rPr>
              <w:t>922</w:t>
            </w:r>
          </w:p>
        </w:tc>
      </w:tr>
    </w:tbl>
    <w:p w14:paraId="7C34F214" w14:textId="77777777" w:rsidR="003C358E" w:rsidRPr="003C358E" w:rsidRDefault="003C358E" w:rsidP="003C358E"/>
    <w:p w14:paraId="212F61E2" w14:textId="77777777" w:rsidR="003C358E" w:rsidRDefault="003C358E" w:rsidP="003C358E">
      <w:pPr>
        <w:pStyle w:val="Heading2"/>
      </w:pPr>
      <w:r w:rsidRPr="003C358E">
        <w:t>A copy of the Force Guidance in relation to secondary business interest applications</w:t>
      </w:r>
    </w:p>
    <w:p w14:paraId="5B43248B" w14:textId="77777777" w:rsidR="005F782E" w:rsidRDefault="005F782E" w:rsidP="005F782E">
      <w:r w:rsidRPr="005F782E">
        <w:t>The information sought is held by Police Scotland, but I am refusing to provide it in terms of section 16(1) of the Act on the basis that the section 25(1) exemption applies:</w:t>
      </w:r>
    </w:p>
    <w:p w14:paraId="093B836D" w14:textId="00C68759" w:rsidR="005F782E" w:rsidRDefault="005F782E" w:rsidP="005F782E">
      <w:r w:rsidRPr="005F782E">
        <w:t>“Information which the applicant can reasonably obtain other than by requesting it […] is exempt information”.</w:t>
      </w:r>
    </w:p>
    <w:p w14:paraId="2F3D97C4" w14:textId="7A3C4B59" w:rsidR="005F782E" w:rsidRDefault="005F782E" w:rsidP="005F782E">
      <w:r>
        <w:t>To be of assistance, I can refer you to the relevant Standard Operating Procedure (SOP) which is publicly available on the Police Scotland website:</w:t>
      </w:r>
    </w:p>
    <w:p w14:paraId="03F57D06" w14:textId="2716D7E5" w:rsidR="005F782E" w:rsidRDefault="005F782E" w:rsidP="005F782E">
      <w:hyperlink r:id="rId11" w:history="1">
        <w:r>
          <w:rPr>
            <w:rStyle w:val="Hyperlink"/>
          </w:rPr>
          <w:t xml:space="preserve">Business Interests and Secondary Employment SOP - Police Scotland </w:t>
        </w:r>
      </w:hyperlink>
      <w:r>
        <w:t xml:space="preserve">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3D2AF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19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B0C1CA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19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A5729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19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138F7C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19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929F7C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19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94BD34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19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1982"/>
    <w:rsid w:val="000573D9"/>
    <w:rsid w:val="00090F3B"/>
    <w:rsid w:val="000C4874"/>
    <w:rsid w:val="000E2F19"/>
    <w:rsid w:val="000E43FF"/>
    <w:rsid w:val="000E6526"/>
    <w:rsid w:val="00141533"/>
    <w:rsid w:val="0015639E"/>
    <w:rsid w:val="00167528"/>
    <w:rsid w:val="00184727"/>
    <w:rsid w:val="00195CC4"/>
    <w:rsid w:val="001F2261"/>
    <w:rsid w:val="00207326"/>
    <w:rsid w:val="00212FEC"/>
    <w:rsid w:val="00253DF6"/>
    <w:rsid w:val="00255F1E"/>
    <w:rsid w:val="00260FBC"/>
    <w:rsid w:val="0036503B"/>
    <w:rsid w:val="00372A9A"/>
    <w:rsid w:val="00376A4A"/>
    <w:rsid w:val="00381234"/>
    <w:rsid w:val="003C358E"/>
    <w:rsid w:val="003D6D03"/>
    <w:rsid w:val="003E12CA"/>
    <w:rsid w:val="004010DC"/>
    <w:rsid w:val="004341F0"/>
    <w:rsid w:val="00456324"/>
    <w:rsid w:val="00472DFB"/>
    <w:rsid w:val="00475460"/>
    <w:rsid w:val="00490317"/>
    <w:rsid w:val="00491644"/>
    <w:rsid w:val="00496A08"/>
    <w:rsid w:val="004E1605"/>
    <w:rsid w:val="004F653C"/>
    <w:rsid w:val="00540A52"/>
    <w:rsid w:val="00546FAD"/>
    <w:rsid w:val="00557306"/>
    <w:rsid w:val="005F782E"/>
    <w:rsid w:val="006029D9"/>
    <w:rsid w:val="0060390B"/>
    <w:rsid w:val="00645CFA"/>
    <w:rsid w:val="00671BD4"/>
    <w:rsid w:val="0068195B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AEB"/>
    <w:rsid w:val="00874BFD"/>
    <w:rsid w:val="008964EF"/>
    <w:rsid w:val="008F08BE"/>
    <w:rsid w:val="00915E01"/>
    <w:rsid w:val="0093207F"/>
    <w:rsid w:val="009405B1"/>
    <w:rsid w:val="009631A4"/>
    <w:rsid w:val="00977296"/>
    <w:rsid w:val="00993797"/>
    <w:rsid w:val="009B2208"/>
    <w:rsid w:val="009D2AA5"/>
    <w:rsid w:val="00A25E93"/>
    <w:rsid w:val="00A320FF"/>
    <w:rsid w:val="00A32524"/>
    <w:rsid w:val="00A70AC0"/>
    <w:rsid w:val="00A84B25"/>
    <w:rsid w:val="00A84EA9"/>
    <w:rsid w:val="00AC443C"/>
    <w:rsid w:val="00AF62CE"/>
    <w:rsid w:val="00B033D6"/>
    <w:rsid w:val="00B11A55"/>
    <w:rsid w:val="00B17211"/>
    <w:rsid w:val="00B461B2"/>
    <w:rsid w:val="00B516B2"/>
    <w:rsid w:val="00B654B6"/>
    <w:rsid w:val="00B71B3C"/>
    <w:rsid w:val="00BC389E"/>
    <w:rsid w:val="00BC7958"/>
    <w:rsid w:val="00BD0588"/>
    <w:rsid w:val="00BE1888"/>
    <w:rsid w:val="00BF6B81"/>
    <w:rsid w:val="00C077A8"/>
    <w:rsid w:val="00C14FF4"/>
    <w:rsid w:val="00C1679F"/>
    <w:rsid w:val="00C329A6"/>
    <w:rsid w:val="00C602A9"/>
    <w:rsid w:val="00C606A2"/>
    <w:rsid w:val="00C63872"/>
    <w:rsid w:val="00C84948"/>
    <w:rsid w:val="00C94ED8"/>
    <w:rsid w:val="00CE09FA"/>
    <w:rsid w:val="00CE3943"/>
    <w:rsid w:val="00CF1111"/>
    <w:rsid w:val="00D05706"/>
    <w:rsid w:val="00D27DC5"/>
    <w:rsid w:val="00D47E36"/>
    <w:rsid w:val="00E2238F"/>
    <w:rsid w:val="00E55A6A"/>
    <w:rsid w:val="00E55D79"/>
    <w:rsid w:val="00E961D5"/>
    <w:rsid w:val="00EE2373"/>
    <w:rsid w:val="00EF0FBB"/>
    <w:rsid w:val="00EF4761"/>
    <w:rsid w:val="00FB0C6D"/>
    <w:rsid w:val="00FC2DA7"/>
    <w:rsid w:val="00FC4593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F7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2esbum0x/business-interests-and-secondary-employment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terms/"/>
    <ds:schemaRef ds:uri="0e32d40b-a8f5-4c24-a46b-b72b5f0b9b52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4222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2025-12-10T16:44:00Z</cp:lastPrinted>
  <dcterms:created xsi:type="dcterms:W3CDTF">2025-12-10T16:44:00Z</dcterms:created>
  <dcterms:modified xsi:type="dcterms:W3CDTF">2025-12-10T16:46:00Z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