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FDAF8E" w:rsidR="00B17211" w:rsidRPr="00B17211" w:rsidRDefault="00B17211" w:rsidP="007F490F">
            <w:r w:rsidRPr="007F490F">
              <w:rPr>
                <w:rStyle w:val="Heading2Char"/>
              </w:rPr>
              <w:t>Our reference:</w:t>
            </w:r>
            <w:r>
              <w:t xml:space="preserve">  FOI 2</w:t>
            </w:r>
            <w:r w:rsidR="00B654B6">
              <w:t>4</w:t>
            </w:r>
            <w:r>
              <w:t>-</w:t>
            </w:r>
            <w:r w:rsidR="000B4436">
              <w:t>1281</w:t>
            </w:r>
          </w:p>
          <w:p w14:paraId="34BDABA6" w14:textId="7D545999" w:rsidR="00B17211" w:rsidRDefault="00456324" w:rsidP="00EE2373">
            <w:r w:rsidRPr="007F490F">
              <w:rPr>
                <w:rStyle w:val="Heading2Char"/>
              </w:rPr>
              <w:t>Respon</w:t>
            </w:r>
            <w:r w:rsidR="007D55F6">
              <w:rPr>
                <w:rStyle w:val="Heading2Char"/>
              </w:rPr>
              <w:t>ded to:</w:t>
            </w:r>
            <w:r w:rsidR="007F490F">
              <w:t xml:space="preserve">  </w:t>
            </w:r>
            <w:r w:rsidR="000B4436">
              <w:t>31</w:t>
            </w:r>
            <w:r w:rsidR="000B4436" w:rsidRPr="000B4436">
              <w:rPr>
                <w:vertAlign w:val="superscript"/>
              </w:rPr>
              <w:t>st</w:t>
            </w:r>
            <w:r w:rsidR="000B4436">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4D96E5" w14:textId="77777777" w:rsidR="009806B1" w:rsidRDefault="009806B1" w:rsidP="009806B1">
      <w:pPr>
        <w:pStyle w:val="Heading2"/>
        <w:rPr>
          <w:rFonts w:eastAsia="Times New Roman"/>
        </w:rPr>
      </w:pPr>
      <w:r>
        <w:rPr>
          <w:rFonts w:eastAsia="Times New Roman"/>
        </w:rPr>
        <w:t>I would like to request all the information Police Scotland holds with regards to the number of callouts and or visits that Police Scotland made to Maxmill Park,</w:t>
      </w:r>
      <w:r>
        <w:rPr>
          <w:rFonts w:eastAsia="Times New Roman"/>
        </w:rPr>
        <w:t xml:space="preserve"> </w:t>
      </w:r>
      <w:r>
        <w:rPr>
          <w:rFonts w:eastAsia="Times New Roman"/>
        </w:rPr>
        <w:t xml:space="preserve">Station Road Kelso Scottish Borders TD5 8DQ that were in </w:t>
      </w:r>
      <w:proofErr w:type="spellStart"/>
      <w:r>
        <w:rPr>
          <w:rFonts w:eastAsia="Times New Roman"/>
        </w:rPr>
        <w:t>someway</w:t>
      </w:r>
      <w:proofErr w:type="spellEnd"/>
      <w:r>
        <w:rPr>
          <w:rFonts w:eastAsia="Times New Roman"/>
        </w:rPr>
        <w:t xml:space="preserve"> linked to potential criminality or anti-social behaviour that occurred at the actual Housing Complex.  </w:t>
      </w:r>
    </w:p>
    <w:p w14:paraId="4B9AC7D7" w14:textId="77777777" w:rsidR="009806B1" w:rsidRDefault="009806B1" w:rsidP="009806B1">
      <w:pPr>
        <w:pStyle w:val="Heading2"/>
        <w:rPr>
          <w:rFonts w:eastAsia="Times New Roman"/>
        </w:rPr>
      </w:pPr>
      <w:r>
        <w:rPr>
          <w:rFonts w:eastAsia="Times New Roman"/>
        </w:rPr>
        <w:t xml:space="preserve">I would like to obtain information pertaining to this for the last 2 years. </w:t>
      </w:r>
    </w:p>
    <w:p w14:paraId="463F794F" w14:textId="77777777" w:rsidR="009806B1" w:rsidRDefault="009806B1" w:rsidP="009806B1">
      <w:pPr>
        <w:pStyle w:val="Heading2"/>
        <w:rPr>
          <w:rFonts w:eastAsia="Times New Roman"/>
        </w:rPr>
      </w:pPr>
      <w:r>
        <w:rPr>
          <w:rFonts w:eastAsia="Times New Roman"/>
        </w:rPr>
        <w:t xml:space="preserve">Although I would happily accept one year's data to help relieve your search burden or a longer period if it saves you from separating data or helps you to anonymise third parties that could be linked to the Request. I appreciate there might be GDPR and Police Operational Concerns linked to this </w:t>
      </w:r>
      <w:proofErr w:type="gramStart"/>
      <w:r>
        <w:rPr>
          <w:rFonts w:eastAsia="Times New Roman"/>
        </w:rPr>
        <w:t>Request</w:t>
      </w:r>
      <w:proofErr w:type="gramEnd"/>
      <w:r>
        <w:rPr>
          <w:rFonts w:eastAsia="Times New Roman"/>
        </w:rPr>
        <w:t xml:space="preserve"> and I will happily acquiesce to whatever decision you make pertaining to this Request. </w:t>
      </w:r>
    </w:p>
    <w:p w14:paraId="690B294D" w14:textId="77777777" w:rsidR="009806B1" w:rsidRDefault="009806B1" w:rsidP="009806B1">
      <w:pPr>
        <w:pStyle w:val="Heading2"/>
        <w:rPr>
          <w:rFonts w:eastAsia="Times New Roman"/>
        </w:rPr>
      </w:pPr>
      <w:r>
        <w:rPr>
          <w:rFonts w:eastAsia="Times New Roman"/>
        </w:rPr>
        <w:t xml:space="preserve">I am for example happy to accept data for the postcode TD5 8DQ alone if you feel the focusing solely on the actual complex alone is too intrusive.  </w:t>
      </w:r>
    </w:p>
    <w:p w14:paraId="641D730E" w14:textId="77777777" w:rsidR="009806B1" w:rsidRDefault="009806B1" w:rsidP="009806B1">
      <w:pPr>
        <w:pStyle w:val="Heading2"/>
        <w:rPr>
          <w:rFonts w:eastAsia="Times New Roman"/>
        </w:rPr>
      </w:pPr>
      <w:r>
        <w:rPr>
          <w:rFonts w:eastAsia="Times New Roman"/>
        </w:rPr>
        <w:t xml:space="preserve">My concern is linked to the potential closure of the facility and the potential effect that this will have on the areas future Homelessness Provision.  </w:t>
      </w:r>
    </w:p>
    <w:p w14:paraId="3F6712E3" w14:textId="6C3C65E2" w:rsidR="009806B1" w:rsidRDefault="009806B1" w:rsidP="009806B1">
      <w:pPr>
        <w:pStyle w:val="Heading2"/>
        <w:rPr>
          <w:rFonts w:eastAsia="Times New Roman"/>
        </w:rPr>
      </w:pPr>
      <w:r>
        <w:rPr>
          <w:rFonts w:eastAsia="Times New Roman"/>
        </w:rPr>
        <w:t xml:space="preserve">Criminality and Anti- Social Behaviour appear to be 95 percent of the reason given by the Council for wanting to close the facility so I feel that the public has a right to know what the level of criminality and anti-social behaviour that </w:t>
      </w:r>
      <w:proofErr w:type="gramStart"/>
      <w:r>
        <w:rPr>
          <w:rFonts w:eastAsia="Times New Roman"/>
        </w:rPr>
        <w:t>actually occurred</w:t>
      </w:r>
      <w:proofErr w:type="gramEnd"/>
      <w:r>
        <w:rPr>
          <w:rFonts w:eastAsia="Times New Roman"/>
        </w:rPr>
        <w:t xml:space="preserve"> at the housing facility might be.</w:t>
      </w:r>
    </w:p>
    <w:p w14:paraId="6A689947" w14:textId="77777777" w:rsidR="006B6B77" w:rsidRDefault="006B6B77" w:rsidP="006B6B77">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p>
    <w:p w14:paraId="49CD1807" w14:textId="77777777" w:rsidR="006B6B77" w:rsidRDefault="006B6B77" w:rsidP="006B6B77">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C1F9936" w14:textId="77777777" w:rsidR="006B6B77" w:rsidRDefault="006B6B77" w:rsidP="006B6B77">
      <w:pPr>
        <w:autoSpaceDE w:val="0"/>
        <w:autoSpaceDN w:val="0"/>
        <w:adjustRightInd w:val="0"/>
      </w:pPr>
      <w:r>
        <w:lastRenderedPageBreak/>
        <w:t>T</w:t>
      </w:r>
      <w:r w:rsidRPr="007C429B">
        <w:t>he exemptions outlined at sections 34(1)(b) and 35(1)(</w:t>
      </w:r>
      <w:proofErr w:type="gramStart"/>
      <w:r w:rsidRPr="007C429B">
        <w:t>a</w:t>
      </w:r>
      <w:r>
        <w:t>)&amp;</w:t>
      </w:r>
      <w:proofErr w:type="gramEnd"/>
      <w:r>
        <w:t>(b) of the Act also apply on the basis that any information held would be held for the purpose of an investigation, and disclosure would prejudice the law enforcement functions of the force.</w:t>
      </w:r>
    </w:p>
    <w:p w14:paraId="43459032" w14:textId="77777777" w:rsidR="006B6B77" w:rsidRDefault="006B6B77" w:rsidP="006B6B77">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777B02C6" w14:textId="659A25AB" w:rsidR="006B6B77" w:rsidRDefault="006B6B77" w:rsidP="006B6B77">
      <w:pPr>
        <w:pStyle w:val="Default"/>
      </w:pPr>
      <w:r>
        <w:t>However, to be of assistance</w:t>
      </w:r>
      <w:r w:rsidR="009806B1">
        <w:t>,</w:t>
      </w:r>
      <w:r>
        <w:t xml:space="preserve"> </w:t>
      </w:r>
      <w:r w:rsidR="009806B1">
        <w:t>the table below details</w:t>
      </w:r>
      <w:r>
        <w:t xml:space="preserve"> anti-social behaviour incidents attended </w:t>
      </w:r>
      <w:r w:rsidR="009806B1">
        <w:t xml:space="preserve">by officers </w:t>
      </w:r>
      <w:r>
        <w:t xml:space="preserve">within a </w:t>
      </w:r>
      <w:r w:rsidR="009806B1">
        <w:t xml:space="preserve">half </w:t>
      </w:r>
      <w:r>
        <w:t>mile radius</w:t>
      </w:r>
      <w:r w:rsidR="009806B1">
        <w:t xml:space="preserve"> of the property, </w:t>
      </w:r>
      <w:r>
        <w:t>for the period 1</w:t>
      </w:r>
      <w:r w:rsidRPr="006B6B77">
        <w:rPr>
          <w:vertAlign w:val="superscript"/>
        </w:rPr>
        <w:t>st</w:t>
      </w:r>
      <w:r>
        <w:t xml:space="preserve"> April 2022 </w:t>
      </w:r>
      <w:r w:rsidR="009806B1">
        <w:t>-</w:t>
      </w:r>
      <w:r>
        <w:t xml:space="preserve"> 31</w:t>
      </w:r>
      <w:r w:rsidRPr="006B6B77">
        <w:rPr>
          <w:vertAlign w:val="superscript"/>
        </w:rPr>
        <w:t>st</w:t>
      </w:r>
      <w:r>
        <w:t xml:space="preserve"> March 2024</w:t>
      </w:r>
      <w:r w:rsidR="009806B1">
        <w:t xml:space="preserve"> by</w:t>
      </w:r>
      <w:r>
        <w:t xml:space="preserve"> financial year</w:t>
      </w:r>
      <w:r w:rsidR="009806B1">
        <w:t>:</w:t>
      </w:r>
    </w:p>
    <w:tbl>
      <w:tblPr>
        <w:tblW w:w="10700" w:type="dxa"/>
        <w:tblCellMar>
          <w:top w:w="15" w:type="dxa"/>
        </w:tblCellMar>
        <w:tblLook w:val="04A0" w:firstRow="1" w:lastRow="0" w:firstColumn="1" w:lastColumn="0" w:noHBand="0" w:noVBand="1"/>
      </w:tblPr>
      <w:tblGrid>
        <w:gridCol w:w="10478"/>
        <w:gridCol w:w="222"/>
      </w:tblGrid>
      <w:tr w:rsidR="006B6B77" w:rsidRPr="006B6B77" w14:paraId="6268F9E8" w14:textId="77777777" w:rsidTr="000B4436">
        <w:trPr>
          <w:gridAfter w:val="1"/>
          <w:wAfter w:w="222" w:type="dxa"/>
          <w:trHeight w:val="654"/>
        </w:trPr>
        <w:tc>
          <w:tcPr>
            <w:tcW w:w="10478" w:type="dxa"/>
            <w:vMerge w:val="restart"/>
            <w:tcBorders>
              <w:top w:val="nil"/>
              <w:left w:val="nil"/>
              <w:bottom w:val="nil"/>
              <w:right w:val="nil"/>
            </w:tcBorders>
            <w:shd w:val="clear" w:color="auto" w:fill="auto"/>
            <w:vAlign w:val="center"/>
            <w:hideMark/>
          </w:tcPr>
          <w:tbl>
            <w:tblPr>
              <w:tblStyle w:val="TableGrid"/>
              <w:tblW w:w="0" w:type="auto"/>
              <w:tblLook w:val="04A0" w:firstRow="1" w:lastRow="0" w:firstColumn="1" w:lastColumn="0" w:noHBand="0" w:noVBand="1"/>
            </w:tblPr>
            <w:tblGrid>
              <w:gridCol w:w="3637"/>
              <w:gridCol w:w="1218"/>
              <w:gridCol w:w="1218"/>
            </w:tblGrid>
            <w:tr w:rsidR="000B4436" w14:paraId="5CB2603E" w14:textId="77777777" w:rsidTr="009806B1">
              <w:tc>
                <w:tcPr>
                  <w:tcW w:w="3637" w:type="dxa"/>
                  <w:shd w:val="clear" w:color="auto" w:fill="D9D9D9" w:themeFill="background1" w:themeFillShade="D9"/>
                </w:tcPr>
                <w:p w14:paraId="388C59B8" w14:textId="365E6971" w:rsidR="000B4436" w:rsidRPr="009806B1" w:rsidRDefault="000B4436" w:rsidP="000B4436">
                  <w:pPr>
                    <w:rPr>
                      <w:b/>
                      <w:bCs/>
                      <w:lang w:eastAsia="en-GB"/>
                    </w:rPr>
                  </w:pPr>
                  <w:r w:rsidRPr="009806B1">
                    <w:rPr>
                      <w:b/>
                      <w:bCs/>
                      <w:lang w:eastAsia="en-GB"/>
                    </w:rPr>
                    <w:t>Initial incident type</w:t>
                  </w:r>
                </w:p>
              </w:tc>
              <w:tc>
                <w:tcPr>
                  <w:tcW w:w="1218" w:type="dxa"/>
                  <w:shd w:val="clear" w:color="auto" w:fill="D9D9D9" w:themeFill="background1" w:themeFillShade="D9"/>
                </w:tcPr>
                <w:p w14:paraId="7B5AC055" w14:textId="7CFD8585" w:rsidR="000B4436" w:rsidRPr="009806B1" w:rsidRDefault="000B4436" w:rsidP="000B4436">
                  <w:pPr>
                    <w:rPr>
                      <w:b/>
                      <w:bCs/>
                      <w:lang w:eastAsia="en-GB"/>
                    </w:rPr>
                  </w:pPr>
                  <w:r w:rsidRPr="009806B1">
                    <w:rPr>
                      <w:b/>
                      <w:bCs/>
                      <w:lang w:eastAsia="en-GB"/>
                    </w:rPr>
                    <w:t>2022/23</w:t>
                  </w:r>
                </w:p>
              </w:tc>
              <w:tc>
                <w:tcPr>
                  <w:tcW w:w="1218" w:type="dxa"/>
                  <w:shd w:val="clear" w:color="auto" w:fill="D9D9D9" w:themeFill="background1" w:themeFillShade="D9"/>
                </w:tcPr>
                <w:p w14:paraId="63916A92" w14:textId="63647A95" w:rsidR="000B4436" w:rsidRPr="009806B1" w:rsidRDefault="000B4436" w:rsidP="000B4436">
                  <w:pPr>
                    <w:rPr>
                      <w:b/>
                      <w:bCs/>
                      <w:lang w:eastAsia="en-GB"/>
                    </w:rPr>
                  </w:pPr>
                  <w:r w:rsidRPr="009806B1">
                    <w:rPr>
                      <w:b/>
                      <w:bCs/>
                      <w:lang w:eastAsia="en-GB"/>
                    </w:rPr>
                    <w:t>2023/24</w:t>
                  </w:r>
                </w:p>
              </w:tc>
            </w:tr>
            <w:tr w:rsidR="000B4436" w14:paraId="61839F8E" w14:textId="77777777" w:rsidTr="009806B1">
              <w:tc>
                <w:tcPr>
                  <w:tcW w:w="3637" w:type="dxa"/>
                </w:tcPr>
                <w:p w14:paraId="4223185E" w14:textId="31018D56" w:rsidR="000B4436" w:rsidRDefault="000B4436" w:rsidP="000B4436">
                  <w:pPr>
                    <w:rPr>
                      <w:lang w:eastAsia="en-GB"/>
                    </w:rPr>
                  </w:pPr>
                  <w:r>
                    <w:rPr>
                      <w:lang w:eastAsia="en-GB"/>
                    </w:rPr>
                    <w:t xml:space="preserve">Public nuisance </w:t>
                  </w:r>
                </w:p>
              </w:tc>
              <w:tc>
                <w:tcPr>
                  <w:tcW w:w="1218" w:type="dxa"/>
                </w:tcPr>
                <w:p w14:paraId="576AB2ED" w14:textId="1B4BFFB2" w:rsidR="000B4436" w:rsidRDefault="000B4436" w:rsidP="000B4436">
                  <w:pPr>
                    <w:rPr>
                      <w:lang w:eastAsia="en-GB"/>
                    </w:rPr>
                  </w:pPr>
                  <w:r>
                    <w:rPr>
                      <w:lang w:eastAsia="en-GB"/>
                    </w:rPr>
                    <w:t>12</w:t>
                  </w:r>
                </w:p>
              </w:tc>
              <w:tc>
                <w:tcPr>
                  <w:tcW w:w="1218" w:type="dxa"/>
                </w:tcPr>
                <w:p w14:paraId="335F13B4" w14:textId="4D9D0443" w:rsidR="000B4436" w:rsidRDefault="000B4436" w:rsidP="000B4436">
                  <w:pPr>
                    <w:rPr>
                      <w:lang w:eastAsia="en-GB"/>
                    </w:rPr>
                  </w:pPr>
                  <w:r>
                    <w:rPr>
                      <w:lang w:eastAsia="en-GB"/>
                    </w:rPr>
                    <w:t>9</w:t>
                  </w:r>
                </w:p>
              </w:tc>
            </w:tr>
            <w:tr w:rsidR="000B4436" w14:paraId="72019680" w14:textId="77777777" w:rsidTr="009806B1">
              <w:tc>
                <w:tcPr>
                  <w:tcW w:w="3637" w:type="dxa"/>
                </w:tcPr>
                <w:p w14:paraId="118CE926" w14:textId="0C7674DE" w:rsidR="000B4436" w:rsidRDefault="000B4436" w:rsidP="000B4436">
                  <w:pPr>
                    <w:rPr>
                      <w:lang w:eastAsia="en-GB"/>
                    </w:rPr>
                  </w:pPr>
                  <w:r>
                    <w:rPr>
                      <w:lang w:eastAsia="en-GB"/>
                    </w:rPr>
                    <w:t>Disturbance</w:t>
                  </w:r>
                </w:p>
              </w:tc>
              <w:tc>
                <w:tcPr>
                  <w:tcW w:w="1218" w:type="dxa"/>
                </w:tcPr>
                <w:p w14:paraId="65D9131F" w14:textId="7F4FFF6E" w:rsidR="000B4436" w:rsidRDefault="000B4436" w:rsidP="000B4436">
                  <w:pPr>
                    <w:rPr>
                      <w:lang w:eastAsia="en-GB"/>
                    </w:rPr>
                  </w:pPr>
                  <w:r>
                    <w:rPr>
                      <w:lang w:eastAsia="en-GB"/>
                    </w:rPr>
                    <w:t>23</w:t>
                  </w:r>
                </w:p>
              </w:tc>
              <w:tc>
                <w:tcPr>
                  <w:tcW w:w="1218" w:type="dxa"/>
                </w:tcPr>
                <w:p w14:paraId="53BF6E91" w14:textId="3369CC80" w:rsidR="000B4436" w:rsidRDefault="000B4436" w:rsidP="000B4436">
                  <w:pPr>
                    <w:rPr>
                      <w:lang w:eastAsia="en-GB"/>
                    </w:rPr>
                  </w:pPr>
                  <w:r>
                    <w:rPr>
                      <w:lang w:eastAsia="en-GB"/>
                    </w:rPr>
                    <w:t>39</w:t>
                  </w:r>
                </w:p>
              </w:tc>
            </w:tr>
            <w:tr w:rsidR="000B4436" w14:paraId="45E4EF49" w14:textId="77777777" w:rsidTr="009806B1">
              <w:tc>
                <w:tcPr>
                  <w:tcW w:w="3637" w:type="dxa"/>
                </w:tcPr>
                <w:p w14:paraId="41F7A6EF" w14:textId="61517F4B" w:rsidR="000B4436" w:rsidRDefault="000B4436" w:rsidP="000B4436">
                  <w:pPr>
                    <w:rPr>
                      <w:lang w:eastAsia="en-GB"/>
                    </w:rPr>
                  </w:pPr>
                  <w:r>
                    <w:rPr>
                      <w:lang w:eastAsia="en-GB"/>
                    </w:rPr>
                    <w:t>Noise</w:t>
                  </w:r>
                </w:p>
              </w:tc>
              <w:tc>
                <w:tcPr>
                  <w:tcW w:w="1218" w:type="dxa"/>
                </w:tcPr>
                <w:p w14:paraId="54CBF12B" w14:textId="41EC4890" w:rsidR="000B4436" w:rsidRDefault="000B4436" w:rsidP="000B4436">
                  <w:pPr>
                    <w:rPr>
                      <w:lang w:eastAsia="en-GB"/>
                    </w:rPr>
                  </w:pPr>
                  <w:r>
                    <w:rPr>
                      <w:lang w:eastAsia="en-GB"/>
                    </w:rPr>
                    <w:t>7</w:t>
                  </w:r>
                </w:p>
              </w:tc>
              <w:tc>
                <w:tcPr>
                  <w:tcW w:w="1218" w:type="dxa"/>
                </w:tcPr>
                <w:p w14:paraId="2EEFF05D" w14:textId="7CD71E57" w:rsidR="000B4436" w:rsidRDefault="000B4436" w:rsidP="000B4436">
                  <w:pPr>
                    <w:rPr>
                      <w:lang w:eastAsia="en-GB"/>
                    </w:rPr>
                  </w:pPr>
                  <w:r>
                    <w:rPr>
                      <w:lang w:eastAsia="en-GB"/>
                    </w:rPr>
                    <w:t>3</w:t>
                  </w:r>
                </w:p>
              </w:tc>
            </w:tr>
            <w:tr w:rsidR="000B4436" w14:paraId="42024146" w14:textId="77777777" w:rsidTr="009806B1">
              <w:tc>
                <w:tcPr>
                  <w:tcW w:w="3637" w:type="dxa"/>
                </w:tcPr>
                <w:p w14:paraId="7ABC92A4" w14:textId="328B51CF" w:rsidR="000B4436" w:rsidRDefault="000B4436" w:rsidP="000B4436">
                  <w:pPr>
                    <w:rPr>
                      <w:lang w:eastAsia="en-GB"/>
                    </w:rPr>
                  </w:pPr>
                  <w:r>
                    <w:rPr>
                      <w:lang w:eastAsia="en-GB"/>
                    </w:rPr>
                    <w:t>Neighbour dispute</w:t>
                  </w:r>
                </w:p>
              </w:tc>
              <w:tc>
                <w:tcPr>
                  <w:tcW w:w="1218" w:type="dxa"/>
                </w:tcPr>
                <w:p w14:paraId="2F529697" w14:textId="48856E7B" w:rsidR="000B4436" w:rsidRDefault="000B4436" w:rsidP="000B4436">
                  <w:pPr>
                    <w:rPr>
                      <w:lang w:eastAsia="en-GB"/>
                    </w:rPr>
                  </w:pPr>
                  <w:r>
                    <w:rPr>
                      <w:lang w:eastAsia="en-GB"/>
                    </w:rPr>
                    <w:t>4</w:t>
                  </w:r>
                </w:p>
              </w:tc>
              <w:tc>
                <w:tcPr>
                  <w:tcW w:w="1218" w:type="dxa"/>
                </w:tcPr>
                <w:p w14:paraId="0E67DFD2" w14:textId="63B3F99F" w:rsidR="000B4436" w:rsidRDefault="000B4436" w:rsidP="000B4436">
                  <w:pPr>
                    <w:rPr>
                      <w:lang w:eastAsia="en-GB"/>
                    </w:rPr>
                  </w:pPr>
                  <w:r>
                    <w:rPr>
                      <w:lang w:eastAsia="en-GB"/>
                    </w:rPr>
                    <w:t>6</w:t>
                  </w:r>
                </w:p>
              </w:tc>
            </w:tr>
            <w:tr w:rsidR="000B4436" w14:paraId="649D24DA" w14:textId="77777777" w:rsidTr="009806B1">
              <w:tc>
                <w:tcPr>
                  <w:tcW w:w="3637" w:type="dxa"/>
                </w:tcPr>
                <w:p w14:paraId="6B8EE6EE" w14:textId="1E7F7F8F" w:rsidR="000B4436" w:rsidRDefault="000B4436" w:rsidP="000B4436">
                  <w:pPr>
                    <w:rPr>
                      <w:lang w:eastAsia="en-GB"/>
                    </w:rPr>
                  </w:pPr>
                  <w:r>
                    <w:rPr>
                      <w:lang w:eastAsia="en-GB"/>
                    </w:rPr>
                    <w:t>Communications</w:t>
                  </w:r>
                </w:p>
              </w:tc>
              <w:tc>
                <w:tcPr>
                  <w:tcW w:w="1218" w:type="dxa"/>
                </w:tcPr>
                <w:p w14:paraId="643E23C2" w14:textId="4DAB87CC" w:rsidR="000B4436" w:rsidRDefault="000B4436" w:rsidP="000B4436">
                  <w:pPr>
                    <w:rPr>
                      <w:lang w:eastAsia="en-GB"/>
                    </w:rPr>
                  </w:pPr>
                  <w:r>
                    <w:rPr>
                      <w:lang w:eastAsia="en-GB"/>
                    </w:rPr>
                    <w:t>13</w:t>
                  </w:r>
                </w:p>
              </w:tc>
              <w:tc>
                <w:tcPr>
                  <w:tcW w:w="1218" w:type="dxa"/>
                </w:tcPr>
                <w:p w14:paraId="3EEEA783" w14:textId="5AA698D1" w:rsidR="000B4436" w:rsidRDefault="000B4436" w:rsidP="000B4436">
                  <w:pPr>
                    <w:rPr>
                      <w:lang w:eastAsia="en-GB"/>
                    </w:rPr>
                  </w:pPr>
                  <w:r>
                    <w:rPr>
                      <w:lang w:eastAsia="en-GB"/>
                    </w:rPr>
                    <w:t>13</w:t>
                  </w:r>
                </w:p>
              </w:tc>
            </w:tr>
            <w:tr w:rsidR="000B4436" w14:paraId="48A545C1" w14:textId="77777777" w:rsidTr="009806B1">
              <w:tc>
                <w:tcPr>
                  <w:tcW w:w="3637" w:type="dxa"/>
                </w:tcPr>
                <w:p w14:paraId="7B9BBE58" w14:textId="6B9D5E84" w:rsidR="000B4436" w:rsidRDefault="000B4436" w:rsidP="000B4436">
                  <w:pPr>
                    <w:rPr>
                      <w:lang w:eastAsia="en-GB"/>
                    </w:rPr>
                  </w:pPr>
                  <w:r>
                    <w:rPr>
                      <w:lang w:eastAsia="en-GB"/>
                    </w:rPr>
                    <w:t>Damage</w:t>
                  </w:r>
                </w:p>
              </w:tc>
              <w:tc>
                <w:tcPr>
                  <w:tcW w:w="1218" w:type="dxa"/>
                </w:tcPr>
                <w:p w14:paraId="20E23F8A" w14:textId="7DE77D13" w:rsidR="000B4436" w:rsidRDefault="000B4436" w:rsidP="000B4436">
                  <w:pPr>
                    <w:rPr>
                      <w:lang w:eastAsia="en-GB"/>
                    </w:rPr>
                  </w:pPr>
                  <w:r>
                    <w:rPr>
                      <w:lang w:eastAsia="en-GB"/>
                    </w:rPr>
                    <w:t>8</w:t>
                  </w:r>
                </w:p>
              </w:tc>
              <w:tc>
                <w:tcPr>
                  <w:tcW w:w="1218" w:type="dxa"/>
                </w:tcPr>
                <w:p w14:paraId="22AC577E" w14:textId="444180FD" w:rsidR="000B4436" w:rsidRDefault="000B4436" w:rsidP="000B4436">
                  <w:pPr>
                    <w:rPr>
                      <w:lang w:eastAsia="en-GB"/>
                    </w:rPr>
                  </w:pPr>
                  <w:r>
                    <w:rPr>
                      <w:lang w:eastAsia="en-GB"/>
                    </w:rPr>
                    <w:t>9</w:t>
                  </w:r>
                </w:p>
              </w:tc>
            </w:tr>
            <w:tr w:rsidR="000B4436" w14:paraId="7BEBE5D9" w14:textId="77777777" w:rsidTr="009806B1">
              <w:tc>
                <w:tcPr>
                  <w:tcW w:w="3637" w:type="dxa"/>
                </w:tcPr>
                <w:p w14:paraId="0771D3CF" w14:textId="720D0ADF" w:rsidR="000B4436" w:rsidRDefault="000B4436" w:rsidP="000B4436">
                  <w:pPr>
                    <w:rPr>
                      <w:lang w:eastAsia="en-GB"/>
                    </w:rPr>
                  </w:pPr>
                  <w:r>
                    <w:rPr>
                      <w:lang w:eastAsia="en-GB"/>
                    </w:rPr>
                    <w:t>Total</w:t>
                  </w:r>
                </w:p>
              </w:tc>
              <w:tc>
                <w:tcPr>
                  <w:tcW w:w="1218" w:type="dxa"/>
                </w:tcPr>
                <w:p w14:paraId="34D765BF" w14:textId="01338B94" w:rsidR="000B4436" w:rsidRDefault="000B4436" w:rsidP="000B4436">
                  <w:pPr>
                    <w:rPr>
                      <w:lang w:eastAsia="en-GB"/>
                    </w:rPr>
                  </w:pPr>
                  <w:r>
                    <w:rPr>
                      <w:lang w:eastAsia="en-GB"/>
                    </w:rPr>
                    <w:t>67</w:t>
                  </w:r>
                </w:p>
              </w:tc>
              <w:tc>
                <w:tcPr>
                  <w:tcW w:w="1218" w:type="dxa"/>
                </w:tcPr>
                <w:p w14:paraId="4667170B" w14:textId="5592DAFA" w:rsidR="000B4436" w:rsidRDefault="000B4436" w:rsidP="000B4436">
                  <w:pPr>
                    <w:rPr>
                      <w:lang w:eastAsia="en-GB"/>
                    </w:rPr>
                  </w:pPr>
                  <w:r>
                    <w:rPr>
                      <w:lang w:eastAsia="en-GB"/>
                    </w:rPr>
                    <w:t>79</w:t>
                  </w:r>
                </w:p>
              </w:tc>
            </w:tr>
          </w:tbl>
          <w:p w14:paraId="6553FEF5" w14:textId="0F62ECD5" w:rsidR="006B6B77" w:rsidRPr="006B6B77" w:rsidRDefault="006B6B77" w:rsidP="006B6B77">
            <w:pPr>
              <w:rPr>
                <w:rFonts w:eastAsia="Times New Roman"/>
                <w:b/>
                <w:bCs/>
                <w:color w:val="000000"/>
                <w:lang w:eastAsia="en-GB"/>
              </w:rPr>
            </w:pPr>
          </w:p>
        </w:tc>
      </w:tr>
      <w:tr w:rsidR="006B6B77" w:rsidRPr="006B6B77" w14:paraId="659CCCC9" w14:textId="77777777" w:rsidTr="000B4436">
        <w:trPr>
          <w:trHeight w:val="310"/>
        </w:trPr>
        <w:tc>
          <w:tcPr>
            <w:tcW w:w="10478" w:type="dxa"/>
            <w:vMerge/>
            <w:tcBorders>
              <w:top w:val="nil"/>
              <w:left w:val="nil"/>
              <w:bottom w:val="nil"/>
              <w:right w:val="nil"/>
            </w:tcBorders>
            <w:vAlign w:val="center"/>
            <w:hideMark/>
          </w:tcPr>
          <w:p w14:paraId="7048319D" w14:textId="77777777" w:rsidR="006B6B77" w:rsidRPr="006B6B77" w:rsidRDefault="006B6B77" w:rsidP="006B6B77">
            <w:pPr>
              <w:spacing w:before="0" w:after="0" w:line="240" w:lineRule="auto"/>
              <w:rPr>
                <w:rFonts w:eastAsia="Times New Roman"/>
                <w:b/>
                <w:bCs/>
                <w:color w:val="000000"/>
                <w:lang w:eastAsia="en-GB"/>
              </w:rPr>
            </w:pPr>
          </w:p>
        </w:tc>
        <w:tc>
          <w:tcPr>
            <w:tcW w:w="222" w:type="dxa"/>
            <w:tcBorders>
              <w:top w:val="nil"/>
              <w:left w:val="nil"/>
              <w:bottom w:val="nil"/>
              <w:right w:val="nil"/>
            </w:tcBorders>
            <w:shd w:val="clear" w:color="auto" w:fill="auto"/>
            <w:noWrap/>
            <w:vAlign w:val="bottom"/>
            <w:hideMark/>
          </w:tcPr>
          <w:p w14:paraId="1CA4494D" w14:textId="77777777" w:rsidR="006B6B77" w:rsidRPr="006B6B77" w:rsidRDefault="006B6B77" w:rsidP="006B6B77">
            <w:pPr>
              <w:spacing w:before="0" w:after="0" w:line="240" w:lineRule="auto"/>
              <w:rPr>
                <w:rFonts w:eastAsia="Times New Roman"/>
                <w:b/>
                <w:bCs/>
                <w:color w:val="000000"/>
                <w:lang w:eastAsia="en-GB"/>
              </w:rPr>
            </w:pPr>
          </w:p>
        </w:tc>
      </w:tr>
    </w:tbl>
    <w:p w14:paraId="005331CC" w14:textId="26B61B9E" w:rsidR="009806B1" w:rsidRDefault="009806B1" w:rsidP="009806B1">
      <w:r>
        <w:t>Data is</w:t>
      </w:r>
      <w:r>
        <w:t xml:space="preserve"> provisional and should be treated as management information. </w:t>
      </w:r>
      <w:r>
        <w:br/>
        <w:t>Data has</w:t>
      </w:r>
      <w:r>
        <w:t xml:space="preserve"> been extracted from Police Scotland internal systems and </w:t>
      </w:r>
      <w:r>
        <w:t>is</w:t>
      </w:r>
      <w:r>
        <w:t xml:space="preserve"> correct </w:t>
      </w:r>
      <w:r>
        <w:t>as of</w:t>
      </w:r>
      <w:r>
        <w:t xml:space="preserve"> 22</w:t>
      </w:r>
      <w:r>
        <w:t xml:space="preserve"> May 2024</w:t>
      </w:r>
      <w:r>
        <w:t>.</w:t>
      </w:r>
      <w:r>
        <w:br/>
      </w:r>
      <w:r>
        <w:t>1. The Incidents are extracted using the Incident date, and then mapping the incidents to 1/2 Mile Radius from Maxmill Park,</w:t>
      </w:r>
      <w:r>
        <w:t xml:space="preserve"> </w:t>
      </w:r>
      <w:r>
        <w:t>TD5 8DQ, The Lothians and Scottish Borders Division, using ArcGIS software (bases on the Grid East and Grid North).</w:t>
      </w:r>
      <w:r>
        <w:br/>
      </w:r>
      <w:r>
        <w:t>2. Storm incidents were extracted using the following Initial Incident Types relating to Anti-Social Behaviour: 'CR-78','AB-24','AB-28','AB-53','AB-55','AB-56','AB-57'.</w:t>
      </w:r>
      <w:r>
        <w:br/>
        <w:t>3</w:t>
      </w:r>
      <w:r>
        <w:t>. Please note, the Grid East and Grid North relates to where Police Officers are directed to attend.</w:t>
      </w:r>
      <w:r>
        <w:br/>
        <w:t>4</w:t>
      </w:r>
      <w:r>
        <w:t>. Out of Force incidents and error incidents have been removed.</w:t>
      </w:r>
    </w:p>
    <w:p w14:paraId="34BDABBE" w14:textId="7EF592D4"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66DB5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C5029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7C61A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0F954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198C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87E21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43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436"/>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B6B77"/>
    <w:rsid w:val="006D5799"/>
    <w:rsid w:val="00750D83"/>
    <w:rsid w:val="00785DBC"/>
    <w:rsid w:val="00793DD5"/>
    <w:rsid w:val="007D55F6"/>
    <w:rsid w:val="007F490F"/>
    <w:rsid w:val="0086779C"/>
    <w:rsid w:val="00874BFD"/>
    <w:rsid w:val="008964EF"/>
    <w:rsid w:val="00915E01"/>
    <w:rsid w:val="009631A4"/>
    <w:rsid w:val="00977296"/>
    <w:rsid w:val="009806B1"/>
    <w:rsid w:val="00A25E93"/>
    <w:rsid w:val="00A320FF"/>
    <w:rsid w:val="00A70AC0"/>
    <w:rsid w:val="00A84EA9"/>
    <w:rsid w:val="00AC443C"/>
    <w:rsid w:val="00AE0134"/>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8823">
      <w:bodyDiv w:val="1"/>
      <w:marLeft w:val="0"/>
      <w:marRight w:val="0"/>
      <w:marTop w:val="0"/>
      <w:marBottom w:val="0"/>
      <w:divBdr>
        <w:top w:val="none" w:sz="0" w:space="0" w:color="auto"/>
        <w:left w:val="none" w:sz="0" w:space="0" w:color="auto"/>
        <w:bottom w:val="none" w:sz="0" w:space="0" w:color="auto"/>
        <w:right w:val="none" w:sz="0" w:space="0" w:color="auto"/>
      </w:divBdr>
    </w:div>
    <w:div w:id="275407130">
      <w:bodyDiv w:val="1"/>
      <w:marLeft w:val="0"/>
      <w:marRight w:val="0"/>
      <w:marTop w:val="0"/>
      <w:marBottom w:val="0"/>
      <w:divBdr>
        <w:top w:val="none" w:sz="0" w:space="0" w:color="auto"/>
        <w:left w:val="none" w:sz="0" w:space="0" w:color="auto"/>
        <w:bottom w:val="none" w:sz="0" w:space="0" w:color="auto"/>
        <w:right w:val="none" w:sz="0" w:space="0" w:color="auto"/>
      </w:divBdr>
    </w:div>
    <w:div w:id="646782213">
      <w:bodyDiv w:val="1"/>
      <w:marLeft w:val="0"/>
      <w:marRight w:val="0"/>
      <w:marTop w:val="0"/>
      <w:marBottom w:val="0"/>
      <w:divBdr>
        <w:top w:val="none" w:sz="0" w:space="0" w:color="auto"/>
        <w:left w:val="none" w:sz="0" w:space="0" w:color="auto"/>
        <w:bottom w:val="none" w:sz="0" w:space="0" w:color="auto"/>
        <w:right w:val="none" w:sz="0" w:space="0" w:color="auto"/>
      </w:divBdr>
    </w:div>
    <w:div w:id="874119221">
      <w:bodyDiv w:val="1"/>
      <w:marLeft w:val="0"/>
      <w:marRight w:val="0"/>
      <w:marTop w:val="0"/>
      <w:marBottom w:val="0"/>
      <w:divBdr>
        <w:top w:val="none" w:sz="0" w:space="0" w:color="auto"/>
        <w:left w:val="none" w:sz="0" w:space="0" w:color="auto"/>
        <w:bottom w:val="none" w:sz="0" w:space="0" w:color="auto"/>
        <w:right w:val="none" w:sz="0" w:space="0" w:color="auto"/>
      </w:divBdr>
    </w:div>
    <w:div w:id="15944347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714</Words>
  <Characters>4071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2024-06-03T12:11:00Z</dcterms:created>
  <dcterms:modified xsi:type="dcterms:W3CDTF">2024-06-03T12:11:00Z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