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E10DFC4" w:rsidR="00B17211" w:rsidRPr="00B17211" w:rsidRDefault="00B17211" w:rsidP="007F490F">
            <w:r w:rsidRPr="007F490F">
              <w:rPr>
                <w:rStyle w:val="Heading2Char"/>
              </w:rPr>
              <w:t>Our reference:</w:t>
            </w:r>
            <w:r>
              <w:t xml:space="preserve">  FOI 2</w:t>
            </w:r>
            <w:r w:rsidR="00EF0FBB">
              <w:t>5</w:t>
            </w:r>
            <w:r>
              <w:t>-</w:t>
            </w:r>
            <w:r w:rsidR="004823C9">
              <w:t>2563</w:t>
            </w:r>
          </w:p>
          <w:p w14:paraId="34BDABA6" w14:textId="62FF0381" w:rsidR="00B17211" w:rsidRDefault="00456324" w:rsidP="00EE2373">
            <w:r w:rsidRPr="007F490F">
              <w:rPr>
                <w:rStyle w:val="Heading2Char"/>
              </w:rPr>
              <w:t>Respon</w:t>
            </w:r>
            <w:r w:rsidR="007D55F6">
              <w:rPr>
                <w:rStyle w:val="Heading2Char"/>
              </w:rPr>
              <w:t>ded to:</w:t>
            </w:r>
            <w:r w:rsidR="007F490F">
              <w:t xml:space="preserve">  </w:t>
            </w:r>
            <w:r w:rsidR="00E23E91">
              <w:t>22</w:t>
            </w:r>
            <w:r w:rsidR="006D5799">
              <w:t xml:space="preserve"> </w:t>
            </w:r>
            <w:r w:rsidR="00AF6542">
              <w:t>December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1514EDD2" w14:textId="31D23A02" w:rsidR="004823C9" w:rsidRPr="004823C9" w:rsidRDefault="004823C9" w:rsidP="004823C9">
      <w:pPr>
        <w:tabs>
          <w:tab w:val="left" w:pos="5400"/>
        </w:tabs>
        <w:rPr>
          <w:rFonts w:eastAsiaTheme="majorEastAsia" w:cstheme="majorBidi"/>
          <w:b/>
          <w:color w:val="000000" w:themeColor="text1"/>
          <w:szCs w:val="26"/>
        </w:rPr>
      </w:pPr>
      <w:r w:rsidRPr="004823C9">
        <w:rPr>
          <w:rFonts w:eastAsiaTheme="majorEastAsia" w:cstheme="majorBidi"/>
          <w:b/>
          <w:color w:val="000000" w:themeColor="text1"/>
          <w:szCs w:val="26"/>
        </w:rPr>
        <w:t>Chief Constable Ian Livingston said that PSOS was ‘institutionally racist and discriminatory’.  He went on to state it wasn’t the officers but the ‘policies and procedures.’</w:t>
      </w:r>
    </w:p>
    <w:p w14:paraId="5DEA6EC2" w14:textId="69083963" w:rsidR="004823C9" w:rsidRPr="004823C9" w:rsidRDefault="004823C9" w:rsidP="004823C9">
      <w:pPr>
        <w:tabs>
          <w:tab w:val="left" w:pos="5400"/>
        </w:tabs>
        <w:rPr>
          <w:rFonts w:eastAsiaTheme="majorEastAsia" w:cstheme="majorBidi"/>
          <w:b/>
          <w:color w:val="000000" w:themeColor="text1"/>
          <w:szCs w:val="26"/>
        </w:rPr>
      </w:pPr>
      <w:r w:rsidRPr="004823C9">
        <w:rPr>
          <w:rFonts w:eastAsiaTheme="majorEastAsia" w:cstheme="majorBidi"/>
          <w:b/>
          <w:color w:val="000000" w:themeColor="text1"/>
          <w:szCs w:val="26"/>
        </w:rPr>
        <w:t>I have asked several of the senior management team to provide examples of these policies and procedures and to date I have yet to receive a satisfactory example.</w:t>
      </w:r>
    </w:p>
    <w:p w14:paraId="05A7FA12" w14:textId="77777777" w:rsidR="004823C9" w:rsidRPr="004823C9" w:rsidRDefault="004823C9" w:rsidP="004823C9">
      <w:pPr>
        <w:tabs>
          <w:tab w:val="left" w:pos="5400"/>
        </w:tabs>
        <w:rPr>
          <w:rFonts w:eastAsiaTheme="majorEastAsia" w:cstheme="majorBidi"/>
          <w:b/>
          <w:color w:val="000000" w:themeColor="text1"/>
          <w:szCs w:val="26"/>
        </w:rPr>
      </w:pPr>
      <w:r w:rsidRPr="004823C9">
        <w:rPr>
          <w:rFonts w:eastAsiaTheme="majorEastAsia" w:cstheme="majorBidi"/>
          <w:b/>
          <w:color w:val="000000" w:themeColor="text1"/>
          <w:szCs w:val="26"/>
        </w:rPr>
        <w:t>I am therefore submitting an FOI requesting that I be provided with examples of any policies and procedures that are racist and or discriminatory.  If this request goes beyond the current threshold of £600 for an FOI, then I request that I be provided with at least one example.</w:t>
      </w:r>
    </w:p>
    <w:p w14:paraId="783A921E" w14:textId="77777777" w:rsidR="00AF6542" w:rsidRPr="001615D7" w:rsidRDefault="00AF6542" w:rsidP="00AF6542">
      <w:bookmarkStart w:id="0" w:name="_MailAutoSig"/>
      <w:r w:rsidRPr="001615D7">
        <w:t xml:space="preserve">I can advise that Police Scotland does not hold the requested information. </w:t>
      </w:r>
    </w:p>
    <w:p w14:paraId="7A048354" w14:textId="77777777" w:rsidR="00AF6542" w:rsidRPr="001615D7" w:rsidRDefault="00AF6542" w:rsidP="00AF6542">
      <w:r w:rsidRPr="001615D7">
        <w:t>In terms of Section 17 of the Act, this letter represents a formal notice that information is not held.</w:t>
      </w:r>
    </w:p>
    <w:p w14:paraId="55546BF7" w14:textId="0B90F1F3" w:rsidR="00AF6542" w:rsidRPr="004823C9" w:rsidRDefault="00AF6542" w:rsidP="0046715E">
      <w:r w:rsidRPr="001615D7">
        <w:t xml:space="preserve">By way of </w:t>
      </w:r>
      <w:r>
        <w:t>information</w:t>
      </w:r>
      <w:r w:rsidRPr="001615D7">
        <w:t>,</w:t>
      </w:r>
      <w:bookmarkEnd w:id="0"/>
      <w:r>
        <w:t xml:space="preserve"> no specific policies of procedures have been highlighted as racist and or discriminatory. </w:t>
      </w:r>
    </w:p>
    <w:p w14:paraId="1DDA4A87" w14:textId="77777777" w:rsidR="00AF6542" w:rsidRDefault="00AF6542" w:rsidP="00AF6542">
      <w:pPr>
        <w:rPr>
          <w:color w:val="000000" w:themeColor="text1"/>
        </w:rPr>
      </w:pPr>
      <w:r w:rsidRPr="006A45E2">
        <w:rPr>
          <w:color w:val="000000" w:themeColor="text1"/>
        </w:rPr>
        <w:t xml:space="preserve">To provide some additional context </w:t>
      </w:r>
      <w:r>
        <w:rPr>
          <w:color w:val="000000" w:themeColor="text1"/>
        </w:rPr>
        <w:t>of the work undertaken by Police Scotland in relation to the</w:t>
      </w:r>
      <w:r w:rsidRPr="006A45E2">
        <w:rPr>
          <w:color w:val="000000" w:themeColor="text1"/>
        </w:rPr>
        <w:t xml:space="preserve"> former Chief Constable’s statement</w:t>
      </w:r>
      <w:r>
        <w:rPr>
          <w:color w:val="000000" w:themeColor="text1"/>
        </w:rPr>
        <w:t xml:space="preserve">, we can advise that </w:t>
      </w:r>
      <w:r w:rsidRPr="006A45E2">
        <w:rPr>
          <w:color w:val="000000" w:themeColor="text1"/>
        </w:rPr>
        <w:t>a review was undertaken</w:t>
      </w:r>
      <w:r>
        <w:rPr>
          <w:color w:val="000000" w:themeColor="text1"/>
        </w:rPr>
        <w:t>,</w:t>
      </w:r>
      <w:r w:rsidRPr="006A45E2">
        <w:rPr>
          <w:color w:val="000000" w:themeColor="text1"/>
        </w:rPr>
        <w:t xml:space="preserve"> </w:t>
      </w:r>
      <w:r>
        <w:rPr>
          <w:color w:val="000000" w:themeColor="text1"/>
        </w:rPr>
        <w:t>t</w:t>
      </w:r>
      <w:r w:rsidRPr="006A45E2">
        <w:rPr>
          <w:color w:val="000000" w:themeColor="text1"/>
        </w:rPr>
        <w:t xml:space="preserve">he key findings of </w:t>
      </w:r>
      <w:r>
        <w:rPr>
          <w:color w:val="000000" w:themeColor="text1"/>
        </w:rPr>
        <w:t>which</w:t>
      </w:r>
      <w:r w:rsidRPr="006A45E2">
        <w:rPr>
          <w:color w:val="000000" w:themeColor="text1"/>
        </w:rPr>
        <w:t xml:space="preserve"> revolved around the use of EqHRIAs and related training for users.</w:t>
      </w:r>
    </w:p>
    <w:p w14:paraId="5A69CD25" w14:textId="77777777" w:rsidR="00AF6542" w:rsidRPr="00FE3A29" w:rsidRDefault="00AF6542" w:rsidP="00AF6542">
      <w:pPr>
        <w:rPr>
          <w:color w:val="000000" w:themeColor="text1"/>
        </w:rPr>
      </w:pPr>
      <w:r w:rsidRPr="00FE3A29">
        <w:rPr>
          <w:color w:val="000000" w:themeColor="text1"/>
        </w:rPr>
        <w:t>These findings aligned with Jane Gordon's Baseline Assessment of Human Rights across Police Scotland which is a piece of work that resulted directly from the public acknowledgement.</w:t>
      </w:r>
    </w:p>
    <w:p w14:paraId="27EFF5CF" w14:textId="77777777" w:rsidR="00AF6542" w:rsidRPr="00FD42DB" w:rsidRDefault="00AF6542" w:rsidP="00AF6542">
      <w:r w:rsidRPr="00384EA3">
        <w:t>As</w:t>
      </w:r>
      <w:r w:rsidRPr="00FD42DB">
        <w:t xml:space="preserve"> of December 2024, as</w:t>
      </w:r>
      <w:r w:rsidRPr="00384EA3">
        <w:t xml:space="preserve"> part of this work a single register of policies and procedures</w:t>
      </w:r>
      <w:r w:rsidRPr="00FD42DB">
        <w:t xml:space="preserve"> </w:t>
      </w:r>
      <w:r w:rsidRPr="00384EA3">
        <w:t>affecting employment was created and all employment procedures</w:t>
      </w:r>
      <w:r w:rsidRPr="00FD42DB">
        <w:t xml:space="preserve"> </w:t>
      </w:r>
      <w:r w:rsidRPr="00384EA3">
        <w:t>were checked to ensure they had an EqHRIA. All policies and</w:t>
      </w:r>
      <w:r w:rsidRPr="00FD42DB">
        <w:t xml:space="preserve"> </w:t>
      </w:r>
      <w:r w:rsidRPr="00384EA3">
        <w:t xml:space="preserve">procedures with known risks or actions from </w:t>
      </w:r>
      <w:r w:rsidRPr="00384EA3">
        <w:lastRenderedPageBreak/>
        <w:t>audit recommendations</w:t>
      </w:r>
      <w:r w:rsidRPr="00FD42DB">
        <w:t xml:space="preserve"> </w:t>
      </w:r>
      <w:r w:rsidRPr="00384EA3">
        <w:t>were identified. An examination of all cyclical review dates was</w:t>
      </w:r>
      <w:r w:rsidRPr="00FD42DB">
        <w:t xml:space="preserve"> carried out.</w:t>
      </w:r>
    </w:p>
    <w:p w14:paraId="3BB5D938" w14:textId="77777777" w:rsidR="00AF6542" w:rsidRPr="00FD42DB" w:rsidRDefault="00AF6542" w:rsidP="00AF6542">
      <w:r w:rsidRPr="00FD42DB">
        <w:t>The following procedures were identified for review:</w:t>
      </w:r>
    </w:p>
    <w:p w14:paraId="4A5B1D13" w14:textId="77777777" w:rsidR="00AF6542" w:rsidRPr="00384EA3" w:rsidRDefault="00AF6542" w:rsidP="00AF6542">
      <w:r w:rsidRPr="00384EA3">
        <w:rPr>
          <w:rFonts w:hint="eastAsia"/>
        </w:rPr>
        <w:t></w:t>
      </w:r>
      <w:r w:rsidRPr="00384EA3">
        <w:t xml:space="preserve"> Acting Ranks</w:t>
      </w:r>
    </w:p>
    <w:p w14:paraId="247732AD" w14:textId="77777777" w:rsidR="00AF6542" w:rsidRPr="00384EA3" w:rsidRDefault="00AF6542" w:rsidP="00AF6542">
      <w:r w:rsidRPr="00384EA3">
        <w:rPr>
          <w:rFonts w:hint="eastAsia"/>
        </w:rPr>
        <w:t></w:t>
      </w:r>
      <w:r w:rsidRPr="00384EA3">
        <w:t xml:space="preserve"> Attendance Management</w:t>
      </w:r>
    </w:p>
    <w:p w14:paraId="0BDFE959" w14:textId="77777777" w:rsidR="00AF6542" w:rsidRPr="00384EA3" w:rsidRDefault="00AF6542" w:rsidP="00AF6542">
      <w:r w:rsidRPr="00384EA3">
        <w:rPr>
          <w:rFonts w:hint="eastAsia"/>
        </w:rPr>
        <w:t></w:t>
      </w:r>
      <w:r w:rsidRPr="00384EA3">
        <w:t xml:space="preserve"> Equality Diversity and Dignity</w:t>
      </w:r>
    </w:p>
    <w:p w14:paraId="2807AE49" w14:textId="77777777" w:rsidR="00AF6542" w:rsidRPr="00384EA3" w:rsidRDefault="00AF6542" w:rsidP="00AF6542">
      <w:r w:rsidRPr="00384EA3">
        <w:rPr>
          <w:rFonts w:hint="eastAsia"/>
        </w:rPr>
        <w:t></w:t>
      </w:r>
      <w:r w:rsidRPr="00384EA3">
        <w:t xml:space="preserve"> Allowances &amp; Expenses (Staff)</w:t>
      </w:r>
    </w:p>
    <w:p w14:paraId="49B5EDC7" w14:textId="77777777" w:rsidR="00AF6542" w:rsidRPr="00384EA3" w:rsidRDefault="00AF6542" w:rsidP="00AF6542">
      <w:r w:rsidRPr="00384EA3">
        <w:rPr>
          <w:rFonts w:hint="eastAsia"/>
        </w:rPr>
        <w:t></w:t>
      </w:r>
      <w:r w:rsidRPr="00384EA3">
        <w:t xml:space="preserve"> Uniform and Appearance</w:t>
      </w:r>
    </w:p>
    <w:p w14:paraId="636FBB2A" w14:textId="77777777" w:rsidR="00AF6542" w:rsidRPr="00384EA3" w:rsidRDefault="00AF6542" w:rsidP="00AF6542">
      <w:r w:rsidRPr="00384EA3">
        <w:rPr>
          <w:rFonts w:hint="eastAsia"/>
        </w:rPr>
        <w:t></w:t>
      </w:r>
      <w:r w:rsidRPr="00384EA3">
        <w:t xml:space="preserve"> Disruption</w:t>
      </w:r>
    </w:p>
    <w:p w14:paraId="506C2C39" w14:textId="77777777" w:rsidR="00AF6542" w:rsidRPr="00384EA3" w:rsidRDefault="00AF6542" w:rsidP="00AF6542">
      <w:r w:rsidRPr="00384EA3">
        <w:rPr>
          <w:rFonts w:hint="eastAsia"/>
        </w:rPr>
        <w:t></w:t>
      </w:r>
      <w:r w:rsidRPr="00384EA3">
        <w:t xml:space="preserve"> Leavers</w:t>
      </w:r>
    </w:p>
    <w:p w14:paraId="60E96B1C" w14:textId="77777777" w:rsidR="00AF6542" w:rsidRPr="00384EA3" w:rsidRDefault="00AF6542" w:rsidP="00AF6542">
      <w:r w:rsidRPr="00384EA3">
        <w:rPr>
          <w:rFonts w:hint="eastAsia"/>
        </w:rPr>
        <w:t></w:t>
      </w:r>
      <w:r w:rsidRPr="00384EA3">
        <w:t xml:space="preserve"> Flexible Working (Staff)</w:t>
      </w:r>
    </w:p>
    <w:p w14:paraId="75BEFA4B" w14:textId="77777777" w:rsidR="00AF6542" w:rsidRPr="00384EA3" w:rsidRDefault="00AF6542" w:rsidP="00AF6542">
      <w:r w:rsidRPr="00384EA3">
        <w:rPr>
          <w:rFonts w:hint="eastAsia"/>
        </w:rPr>
        <w:t></w:t>
      </w:r>
      <w:r w:rsidRPr="00384EA3">
        <w:t xml:space="preserve"> Postings and Transfers</w:t>
      </w:r>
    </w:p>
    <w:p w14:paraId="3A950961" w14:textId="77777777" w:rsidR="00AF6542" w:rsidRPr="00384EA3" w:rsidRDefault="00AF6542" w:rsidP="00AF6542">
      <w:r w:rsidRPr="00384EA3">
        <w:rPr>
          <w:rFonts w:hint="eastAsia"/>
        </w:rPr>
        <w:t></w:t>
      </w:r>
      <w:r w:rsidRPr="00384EA3">
        <w:t xml:space="preserve"> Recruitment and Selection (Staff)</w:t>
      </w:r>
    </w:p>
    <w:p w14:paraId="0295AB14" w14:textId="77777777" w:rsidR="00AF6542" w:rsidRPr="00384EA3" w:rsidRDefault="00AF6542" w:rsidP="00AF6542">
      <w:r w:rsidRPr="00384EA3">
        <w:rPr>
          <w:rFonts w:hint="eastAsia"/>
        </w:rPr>
        <w:t></w:t>
      </w:r>
      <w:r w:rsidRPr="00384EA3">
        <w:t xml:space="preserve"> Shared Parental Leave</w:t>
      </w:r>
    </w:p>
    <w:p w14:paraId="42D0D3C4" w14:textId="77777777" w:rsidR="00AF6542" w:rsidRPr="00384EA3" w:rsidRDefault="00AF6542" w:rsidP="00AF6542">
      <w:r w:rsidRPr="00384EA3">
        <w:rPr>
          <w:rFonts w:hint="eastAsia"/>
        </w:rPr>
        <w:t></w:t>
      </w:r>
      <w:r w:rsidRPr="00384EA3">
        <w:t xml:space="preserve"> Promotion</w:t>
      </w:r>
    </w:p>
    <w:p w14:paraId="6058D434" w14:textId="77777777" w:rsidR="00AF6542" w:rsidRPr="00384EA3" w:rsidRDefault="00AF6542" w:rsidP="00AF6542">
      <w:r w:rsidRPr="00384EA3">
        <w:rPr>
          <w:rFonts w:hint="eastAsia"/>
        </w:rPr>
        <w:t></w:t>
      </w:r>
      <w:r w:rsidRPr="00384EA3">
        <w:t xml:space="preserve"> Grievance</w:t>
      </w:r>
    </w:p>
    <w:p w14:paraId="4AD1C31B" w14:textId="77777777" w:rsidR="00AF6542" w:rsidRPr="00384EA3" w:rsidRDefault="00AF6542" w:rsidP="00AF6542">
      <w:r w:rsidRPr="00384EA3">
        <w:rPr>
          <w:rFonts w:hint="eastAsia"/>
        </w:rPr>
        <w:t></w:t>
      </w:r>
      <w:r w:rsidRPr="00384EA3">
        <w:t xml:space="preserve"> Disability in Employment</w:t>
      </w:r>
    </w:p>
    <w:p w14:paraId="6C36B215" w14:textId="77777777" w:rsidR="00AF6542" w:rsidRPr="00384EA3" w:rsidRDefault="00AF6542" w:rsidP="00AF6542">
      <w:r w:rsidRPr="00384EA3">
        <w:rPr>
          <w:rFonts w:hint="eastAsia"/>
        </w:rPr>
        <w:t></w:t>
      </w:r>
      <w:r w:rsidRPr="00384EA3">
        <w:t xml:space="preserve"> Organisational Change</w:t>
      </w:r>
    </w:p>
    <w:p w14:paraId="095AB037" w14:textId="77777777" w:rsidR="00AF6542" w:rsidRPr="00384EA3" w:rsidRDefault="00AF6542" w:rsidP="00AF6542">
      <w:r w:rsidRPr="00384EA3">
        <w:rPr>
          <w:rFonts w:hint="eastAsia"/>
        </w:rPr>
        <w:t></w:t>
      </w:r>
      <w:r w:rsidRPr="00384EA3">
        <w:t xml:space="preserve"> Flexible Working (Officers)</w:t>
      </w:r>
    </w:p>
    <w:p w14:paraId="7726E6B3" w14:textId="77777777" w:rsidR="00AF6542" w:rsidRPr="00FD42DB" w:rsidRDefault="00AF6542" w:rsidP="00AF6542">
      <w:r w:rsidRPr="00384EA3">
        <w:t>As of 12 February 2025, the review of the above procedures remains on track for the end of the</w:t>
      </w:r>
      <w:r w:rsidRPr="00FD42DB">
        <w:t xml:space="preserve"> </w:t>
      </w:r>
      <w:r w:rsidRPr="00384EA3">
        <w:t xml:space="preserve">financial year 2024/25. </w:t>
      </w:r>
    </w:p>
    <w:p w14:paraId="21DC5A08" w14:textId="3E673A31" w:rsidR="00AF6542" w:rsidRDefault="00FA7FC5" w:rsidP="00AF6542">
      <w:r>
        <w:t>Therefore, at present,</w:t>
      </w:r>
      <w:r w:rsidR="00AF6542" w:rsidRPr="00FD42DB">
        <w:t xml:space="preserve"> no changes </w:t>
      </w:r>
      <w:r>
        <w:t>have been made</w:t>
      </w:r>
      <w:r w:rsidR="00AF6542" w:rsidRPr="00FD42DB">
        <w:t xml:space="preserve">. The reason for this is that the Service have sufficient assurance and governance in place to ensure that no policy or procedure is ‘directly discriminatory’, and we have a register of mitigating actions to ensure that any potential ‘indirect discrimination’ is monitored and managed. </w:t>
      </w:r>
    </w:p>
    <w:p w14:paraId="529EB59E" w14:textId="561A6F4C" w:rsidR="0046715E" w:rsidRDefault="0046715E" w:rsidP="0046715E">
      <w:pPr>
        <w:tabs>
          <w:tab w:val="left" w:pos="5400"/>
        </w:tabs>
      </w:pPr>
      <w:r>
        <w:lastRenderedPageBreak/>
        <w:t>We can also advise that f</w:t>
      </w:r>
      <w:r w:rsidRPr="004823C9">
        <w:t>ollowing the comments made</w:t>
      </w:r>
      <w:r>
        <w:t>,</w:t>
      </w:r>
      <w:r w:rsidRPr="004823C9">
        <w:t xml:space="preserve"> a review of all HR policies and procedures</w:t>
      </w:r>
      <w:r>
        <w:t xml:space="preserve"> took place</w:t>
      </w:r>
      <w:r w:rsidRPr="004823C9">
        <w:t>, and the outcome was none of the procedures owned by HR were considered by the HR Policy Team to be racist or discriminatory although in some instances they have the potential to be so</w:t>
      </w:r>
      <w:r>
        <w:t>,</w:t>
      </w:r>
      <w:r w:rsidRPr="004823C9">
        <w:t xml:space="preserve"> if mitigating actions are not adhered to.  </w:t>
      </w:r>
    </w:p>
    <w:p w14:paraId="2DAA4D09" w14:textId="77777777" w:rsidR="0046715E" w:rsidRPr="004823C9" w:rsidRDefault="0046715E" w:rsidP="0046715E">
      <w:pPr>
        <w:tabs>
          <w:tab w:val="left" w:pos="5400"/>
        </w:tabs>
      </w:pPr>
      <w:r w:rsidRPr="004823C9">
        <w:t xml:space="preserve">For example, the Uniform and Appearance Standards Procedure has guidance for police officers that ‘headwear should always be worn while you are on duty unless it limits your ability to perform your duties’.  The procedure places restrictions on the appearance of police officers which may impact on an officer’s capacity for cultural observance at work.  However, subject to health and safety considerations, provisions have been made wherever possible to accommodate exceptions on cultural (or religious or medical) grounds.  For example, head coverings of cultural or religious significance, such as turbans, kippahs or hijabs, may be worn instead of standard police issue headwear and officers who wear a head covering of cultural or religious significance are exempt from the direction to wear a police issue safety cycle helmet while riding a pedal cycle on duty.  These provisions mitigate against the likely impacts that were identified for this protected characteristic group during the development of the procedure.  </w:t>
      </w:r>
    </w:p>
    <w:p w14:paraId="34BDABBD" w14:textId="795A158D" w:rsidR="00BF6B81" w:rsidRDefault="0046715E" w:rsidP="0046715E">
      <w:pPr>
        <w:tabs>
          <w:tab w:val="left" w:pos="5400"/>
        </w:tabs>
      </w:pPr>
      <w:r w:rsidRPr="004823C9">
        <w:t>HR puts equality, diversity, and inclusion at the heart of policy decision making by completing an Equality and Human Rights Impact Assessment (EqHRIA) alongside all written material. These assessments are practical tools that look at policies and procedures through the eyes of those with protected characteristics, helping to identify barriers within the provisions, criteria, or practices. Where possible, these are removed within the design phase and where they cannot be removed the assessment requires mitigating actions to monitor impact, reduce risk and work toward solutions.  Ongoing consultation with the statutory and diversity staff associations also affords us with an opportunity for any unforeseen or unintended impacts to be identified and dealt with appropriately.</w:t>
      </w:r>
    </w:p>
    <w:p w14:paraId="30DFA854" w14:textId="77777777" w:rsidR="0046715E" w:rsidRPr="00B11A55" w:rsidRDefault="0046715E" w:rsidP="0046715E">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DD415D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712B09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0A9031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708C50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01F31C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C3C033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E1299"/>
    <w:rsid w:val="001F2261"/>
    <w:rsid w:val="00207326"/>
    <w:rsid w:val="00253DF6"/>
    <w:rsid w:val="00255F1E"/>
    <w:rsid w:val="00260FBC"/>
    <w:rsid w:val="0036503B"/>
    <w:rsid w:val="00376A4A"/>
    <w:rsid w:val="00381234"/>
    <w:rsid w:val="003D6D03"/>
    <w:rsid w:val="003E12CA"/>
    <w:rsid w:val="004010DC"/>
    <w:rsid w:val="004341F0"/>
    <w:rsid w:val="00456324"/>
    <w:rsid w:val="0046715E"/>
    <w:rsid w:val="00475460"/>
    <w:rsid w:val="004823C9"/>
    <w:rsid w:val="00490317"/>
    <w:rsid w:val="00491644"/>
    <w:rsid w:val="00496A08"/>
    <w:rsid w:val="004A2F52"/>
    <w:rsid w:val="004E1605"/>
    <w:rsid w:val="004F653C"/>
    <w:rsid w:val="00540A52"/>
    <w:rsid w:val="00557306"/>
    <w:rsid w:val="006029D9"/>
    <w:rsid w:val="0060390B"/>
    <w:rsid w:val="00645CFA"/>
    <w:rsid w:val="00685219"/>
    <w:rsid w:val="006D5799"/>
    <w:rsid w:val="007440EA"/>
    <w:rsid w:val="00750D83"/>
    <w:rsid w:val="00785DBC"/>
    <w:rsid w:val="00793DD5"/>
    <w:rsid w:val="007B445B"/>
    <w:rsid w:val="007D55F6"/>
    <w:rsid w:val="007F490F"/>
    <w:rsid w:val="0086779C"/>
    <w:rsid w:val="00874BFD"/>
    <w:rsid w:val="008964EF"/>
    <w:rsid w:val="00915E01"/>
    <w:rsid w:val="0093207F"/>
    <w:rsid w:val="009631A4"/>
    <w:rsid w:val="00977296"/>
    <w:rsid w:val="009B2208"/>
    <w:rsid w:val="009D2AA5"/>
    <w:rsid w:val="009E3A03"/>
    <w:rsid w:val="00A25E93"/>
    <w:rsid w:val="00A320FF"/>
    <w:rsid w:val="00A70AC0"/>
    <w:rsid w:val="00A84EA9"/>
    <w:rsid w:val="00AC443C"/>
    <w:rsid w:val="00AF6542"/>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655D0"/>
    <w:rsid w:val="00C84948"/>
    <w:rsid w:val="00C94ED8"/>
    <w:rsid w:val="00CE09FA"/>
    <w:rsid w:val="00CF1111"/>
    <w:rsid w:val="00D05706"/>
    <w:rsid w:val="00D27DC5"/>
    <w:rsid w:val="00D47E36"/>
    <w:rsid w:val="00E23E91"/>
    <w:rsid w:val="00E55D79"/>
    <w:rsid w:val="00E66894"/>
    <w:rsid w:val="00EE2373"/>
    <w:rsid w:val="00EF0FBB"/>
    <w:rsid w:val="00EF4761"/>
    <w:rsid w:val="00FA7FC5"/>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122709">
      <w:bodyDiv w:val="1"/>
      <w:marLeft w:val="0"/>
      <w:marRight w:val="0"/>
      <w:marTop w:val="0"/>
      <w:marBottom w:val="0"/>
      <w:divBdr>
        <w:top w:val="none" w:sz="0" w:space="0" w:color="auto"/>
        <w:left w:val="none" w:sz="0" w:space="0" w:color="auto"/>
        <w:bottom w:val="none" w:sz="0" w:space="0" w:color="auto"/>
        <w:right w:val="none" w:sz="0" w:space="0" w:color="auto"/>
      </w:divBdr>
    </w:div>
    <w:div w:id="1169251150">
      <w:bodyDiv w:val="1"/>
      <w:marLeft w:val="0"/>
      <w:marRight w:val="0"/>
      <w:marTop w:val="0"/>
      <w:marBottom w:val="0"/>
      <w:divBdr>
        <w:top w:val="none" w:sz="0" w:space="0" w:color="auto"/>
        <w:left w:val="none" w:sz="0" w:space="0" w:color="auto"/>
        <w:bottom w:val="none" w:sz="0" w:space="0" w:color="auto"/>
        <w:right w:val="none" w:sz="0" w:space="0" w:color="auto"/>
      </w:divBdr>
    </w:div>
    <w:div w:id="1289435187">
      <w:bodyDiv w:val="1"/>
      <w:marLeft w:val="0"/>
      <w:marRight w:val="0"/>
      <w:marTop w:val="0"/>
      <w:marBottom w:val="0"/>
      <w:divBdr>
        <w:top w:val="none" w:sz="0" w:space="0" w:color="auto"/>
        <w:left w:val="none" w:sz="0" w:space="0" w:color="auto"/>
        <w:bottom w:val="none" w:sz="0" w:space="0" w:color="auto"/>
        <w:right w:val="none" w:sz="0" w:space="0" w:color="auto"/>
      </w:divBdr>
    </w:div>
    <w:div w:id="203256221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907</Words>
  <Characters>5172</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2025-12-22T11:42:00Z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