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5E88E3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C576C">
              <w:t>1448</w:t>
            </w:r>
          </w:p>
          <w:p w14:paraId="34BDABA6" w14:textId="6B7C929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571D8">
              <w:t>19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26C8D5A" w14:textId="02D4A0F0" w:rsidR="009A7AC8" w:rsidRPr="009A7AC8" w:rsidRDefault="009A7AC8" w:rsidP="009A7AC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A7AC8">
        <w:rPr>
          <w:rFonts w:eastAsiaTheme="majorEastAsia" w:cstheme="majorBidi"/>
          <w:b/>
          <w:color w:val="000000" w:themeColor="text1"/>
          <w:szCs w:val="26"/>
        </w:rPr>
        <w:t>Can I please request the following information:</w:t>
      </w:r>
    </w:p>
    <w:p w14:paraId="29779049" w14:textId="77777777" w:rsidR="009A7AC8" w:rsidRPr="009A7AC8" w:rsidRDefault="009A7AC8" w:rsidP="009A7AC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A7AC8">
        <w:rPr>
          <w:rFonts w:eastAsiaTheme="majorEastAsia" w:cstheme="majorBidi"/>
          <w:b/>
          <w:color w:val="000000" w:themeColor="text1"/>
          <w:szCs w:val="26"/>
        </w:rPr>
        <w:t>The costs of compensation payouts by Police Scotland for the financial years of 2021-22, 2022-23, and 2023-24. Please include any compensation payouts which have been ordered to be paid, even if the payment has not necessarily been completed.</w:t>
      </w:r>
    </w:p>
    <w:p w14:paraId="6AE70B25" w14:textId="227C4A47" w:rsidR="009A7AC8" w:rsidRPr="009A7AC8" w:rsidRDefault="009A7AC8" w:rsidP="009A7AC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After seeking clarification, you confirmed your request related to the following: </w:t>
      </w:r>
    </w:p>
    <w:p w14:paraId="025A087D" w14:textId="1AAAC68B" w:rsidR="009A7AC8" w:rsidRDefault="009A7AC8" w:rsidP="009A7AC8">
      <w:pPr>
        <w:tabs>
          <w:tab w:val="left" w:pos="5400"/>
        </w:tabs>
        <w:rPr>
          <w:b/>
          <w:bCs/>
        </w:rPr>
      </w:pPr>
      <w:r w:rsidRPr="009A7AC8">
        <w:rPr>
          <w:b/>
          <w:bCs/>
        </w:rPr>
        <w:t>I’m looking for how much compensation has been paid out by yourselves for the years in question. I’m also looking for all types of compensation and if a breakdown could be provided</w:t>
      </w:r>
      <w:r>
        <w:rPr>
          <w:b/>
          <w:bCs/>
        </w:rPr>
        <w:t>.</w:t>
      </w:r>
    </w:p>
    <w:p w14:paraId="110AB702" w14:textId="1A320013" w:rsidR="00FF58C6" w:rsidRPr="0029243A" w:rsidRDefault="00531EFA" w:rsidP="009A7AC8">
      <w:pPr>
        <w:tabs>
          <w:tab w:val="left" w:pos="5400"/>
        </w:tabs>
      </w:pPr>
      <w:r w:rsidRPr="0029243A">
        <w:t xml:space="preserve">The figures below </w:t>
      </w:r>
      <w:r w:rsidR="0029243A">
        <w:t xml:space="preserve">have been provided by Police Scotland’s Legal Services Department and cover compensation payments </w:t>
      </w:r>
      <w:r w:rsidRPr="0029243A">
        <w:t xml:space="preserve">made in financial years 2021/22, 2022/23 and 2023/24. </w:t>
      </w:r>
    </w:p>
    <w:p w14:paraId="511F6E54" w14:textId="508A7F44" w:rsidR="00531EFA" w:rsidRDefault="00531EFA" w:rsidP="009A7AC8">
      <w:pPr>
        <w:tabs>
          <w:tab w:val="left" w:pos="5400"/>
        </w:tabs>
      </w:pPr>
      <w:r w:rsidRPr="0029243A">
        <w:t>It should be noted that payments categorised as “other”</w:t>
      </w:r>
      <w:r w:rsidR="0029243A">
        <w:t xml:space="preserve"> </w:t>
      </w:r>
      <w:r w:rsidR="00C37442">
        <w:t>are made up of</w:t>
      </w:r>
      <w:r w:rsidR="0029243A">
        <w:t xml:space="preserve"> divisional claims. These are not handled by the Legal Services Department and relate mostly to miscellaneous </w:t>
      </w:r>
      <w:r w:rsidR="006C576C">
        <w:t xml:space="preserve">items, including damage to property. </w:t>
      </w:r>
    </w:p>
    <w:p w14:paraId="53D27244" w14:textId="2D58FA05" w:rsidR="00AE46F5" w:rsidRDefault="00AE46F5" w:rsidP="00AE46F5">
      <w:r>
        <w:t>Unfortunately,</w:t>
      </w:r>
      <w:r w:rsidRPr="00453F0A">
        <w:t xml:space="preserve"> </w:t>
      </w:r>
      <w:r>
        <w:t xml:space="preserve">to break these payments down further, </w:t>
      </w:r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47CAC112" w14:textId="77777777" w:rsidR="00AE46F5" w:rsidRDefault="00AE46F5" w:rsidP="00AE46F5">
      <w:r>
        <w:t>By way of explanation, this would require a manual review of each record. As such, this is an exercise which would exceed the cost limit set out in the Fees Regulations.</w:t>
      </w:r>
    </w:p>
    <w:p w14:paraId="50D9EACA" w14:textId="485D9945" w:rsidR="00AE46F5" w:rsidRDefault="00AE46F5" w:rsidP="009A7AC8">
      <w:pPr>
        <w:tabs>
          <w:tab w:val="left" w:pos="5400"/>
        </w:tabs>
      </w:pPr>
    </w:p>
    <w:p w14:paraId="6A61D674" w14:textId="77777777" w:rsidR="00AE46F5" w:rsidRDefault="00AE46F5" w:rsidP="009A7AC8">
      <w:pPr>
        <w:tabs>
          <w:tab w:val="left" w:pos="5400"/>
        </w:tabs>
      </w:pPr>
    </w:p>
    <w:p w14:paraId="6181D888" w14:textId="77777777" w:rsidR="00AE46F5" w:rsidRPr="009A7AC8" w:rsidRDefault="00AE46F5" w:rsidP="009A7AC8">
      <w:pPr>
        <w:tabs>
          <w:tab w:val="left" w:pos="5400"/>
        </w:tabs>
      </w:pPr>
    </w:p>
    <w:p w14:paraId="791D7BAF" w14:textId="2E203CDE" w:rsidR="00FF58C6" w:rsidRPr="006C576C" w:rsidRDefault="00FF58C6" w:rsidP="00FF58C6">
      <w:pPr>
        <w:tabs>
          <w:tab w:val="left" w:pos="5400"/>
        </w:tabs>
        <w:rPr>
          <w:b/>
          <w:bCs/>
          <w:u w:val="single"/>
        </w:rPr>
      </w:pPr>
      <w:r w:rsidRPr="006C576C">
        <w:rPr>
          <w:b/>
          <w:bCs/>
          <w:u w:val="single"/>
        </w:rPr>
        <w:lastRenderedPageBreak/>
        <w:t>Motor Liability Claims</w:t>
      </w:r>
    </w:p>
    <w:p w14:paraId="7BE56B20" w14:textId="77777777" w:rsidR="00FF58C6" w:rsidRDefault="00FF58C6" w:rsidP="00FF58C6">
      <w:pPr>
        <w:tabs>
          <w:tab w:val="left" w:pos="5400"/>
        </w:tabs>
      </w:pPr>
      <w:r w:rsidRPr="00FF58C6">
        <w:t>21/22       £801,539.84</w:t>
      </w:r>
    </w:p>
    <w:p w14:paraId="6AF4B620" w14:textId="16B6BFB6" w:rsidR="00FF58C6" w:rsidRPr="00FF58C6" w:rsidRDefault="00FF58C6" w:rsidP="00FF58C6">
      <w:pPr>
        <w:tabs>
          <w:tab w:val="left" w:pos="5400"/>
        </w:tabs>
      </w:pPr>
      <w:r w:rsidRPr="00FF58C6">
        <w:t>22/23       £1,032,538.74</w:t>
      </w:r>
    </w:p>
    <w:p w14:paraId="48FBD898" w14:textId="77777777" w:rsidR="00FF58C6" w:rsidRDefault="00FF58C6" w:rsidP="00FF58C6">
      <w:pPr>
        <w:tabs>
          <w:tab w:val="left" w:pos="5400"/>
        </w:tabs>
      </w:pPr>
      <w:r w:rsidRPr="00FF58C6">
        <w:t>23/24       £1,055,704.81</w:t>
      </w:r>
    </w:p>
    <w:p w14:paraId="7858296D" w14:textId="77777777" w:rsidR="00AE46F5" w:rsidRPr="00FF58C6" w:rsidRDefault="00AE46F5" w:rsidP="00FF58C6">
      <w:pPr>
        <w:tabs>
          <w:tab w:val="left" w:pos="5400"/>
        </w:tabs>
      </w:pPr>
    </w:p>
    <w:p w14:paraId="252C6559" w14:textId="77777777" w:rsidR="00FF58C6" w:rsidRPr="00FF58C6" w:rsidRDefault="00FF58C6" w:rsidP="00FF58C6">
      <w:pPr>
        <w:tabs>
          <w:tab w:val="left" w:pos="5400"/>
        </w:tabs>
        <w:rPr>
          <w:b/>
          <w:bCs/>
          <w:u w:val="single"/>
        </w:rPr>
      </w:pPr>
      <w:r w:rsidRPr="00FF58C6">
        <w:rPr>
          <w:b/>
          <w:bCs/>
          <w:u w:val="single"/>
        </w:rPr>
        <w:t>Public Liability Claims</w:t>
      </w:r>
    </w:p>
    <w:p w14:paraId="3338C7FF" w14:textId="77777777" w:rsidR="00FF58C6" w:rsidRPr="00FF58C6" w:rsidRDefault="00FF58C6" w:rsidP="00FF58C6">
      <w:pPr>
        <w:tabs>
          <w:tab w:val="left" w:pos="5400"/>
        </w:tabs>
      </w:pPr>
      <w:r w:rsidRPr="00FF58C6">
        <w:t>21/22               £1,684,240.13</w:t>
      </w:r>
    </w:p>
    <w:p w14:paraId="245D5D9D" w14:textId="77777777" w:rsidR="00FF58C6" w:rsidRPr="00FF58C6" w:rsidRDefault="00FF58C6" w:rsidP="00FF58C6">
      <w:pPr>
        <w:tabs>
          <w:tab w:val="left" w:pos="5400"/>
        </w:tabs>
      </w:pPr>
      <w:r w:rsidRPr="00FF58C6">
        <w:t>22/23               £240,784.43</w:t>
      </w:r>
    </w:p>
    <w:p w14:paraId="38873B8C" w14:textId="3D0B8D5E" w:rsidR="00FF58C6" w:rsidRDefault="00FF58C6" w:rsidP="00FF58C6">
      <w:pPr>
        <w:tabs>
          <w:tab w:val="left" w:pos="5400"/>
        </w:tabs>
      </w:pPr>
      <w:r w:rsidRPr="00FF58C6">
        <w:t>23/24               £319,079.51</w:t>
      </w:r>
    </w:p>
    <w:p w14:paraId="793F442E" w14:textId="77777777" w:rsidR="00AE46F5" w:rsidRPr="00FF58C6" w:rsidRDefault="00AE46F5" w:rsidP="00FF58C6">
      <w:pPr>
        <w:tabs>
          <w:tab w:val="left" w:pos="5400"/>
        </w:tabs>
      </w:pPr>
    </w:p>
    <w:p w14:paraId="39820D5B" w14:textId="18EFA7F8" w:rsidR="00FF58C6" w:rsidRPr="00FF58C6" w:rsidRDefault="00FF58C6" w:rsidP="00FF58C6">
      <w:pPr>
        <w:tabs>
          <w:tab w:val="left" w:pos="5400"/>
        </w:tabs>
        <w:rPr>
          <w:b/>
          <w:bCs/>
          <w:u w:val="single"/>
        </w:rPr>
      </w:pPr>
      <w:r w:rsidRPr="00FF58C6">
        <w:rPr>
          <w:b/>
          <w:bCs/>
          <w:u w:val="single"/>
        </w:rPr>
        <w:t>Employers’ Liability and Employment Tribunal Claims</w:t>
      </w:r>
    </w:p>
    <w:p w14:paraId="4D471FB8" w14:textId="77777777" w:rsidR="00FF58C6" w:rsidRPr="00FF58C6" w:rsidRDefault="00FF58C6" w:rsidP="00FF58C6">
      <w:pPr>
        <w:tabs>
          <w:tab w:val="left" w:pos="5400"/>
        </w:tabs>
      </w:pPr>
      <w:r w:rsidRPr="00FF58C6">
        <w:t>21/22               £2,381,635.48</w:t>
      </w:r>
    </w:p>
    <w:p w14:paraId="3C98B082" w14:textId="77777777" w:rsidR="00FF58C6" w:rsidRPr="00FF58C6" w:rsidRDefault="00FF58C6" w:rsidP="00FF58C6">
      <w:pPr>
        <w:tabs>
          <w:tab w:val="left" w:pos="5400"/>
        </w:tabs>
      </w:pPr>
      <w:r w:rsidRPr="00FF58C6">
        <w:t>22/23               £1,496,899.88</w:t>
      </w:r>
    </w:p>
    <w:p w14:paraId="5F023D12" w14:textId="704EC530" w:rsidR="00FF58C6" w:rsidRDefault="00FF58C6" w:rsidP="00FF58C6">
      <w:pPr>
        <w:tabs>
          <w:tab w:val="left" w:pos="5400"/>
        </w:tabs>
      </w:pPr>
      <w:r w:rsidRPr="00FF58C6">
        <w:t>23/24               £1,763,137.69</w:t>
      </w:r>
    </w:p>
    <w:p w14:paraId="0895412C" w14:textId="77777777" w:rsidR="00AE46F5" w:rsidRPr="00FF58C6" w:rsidRDefault="00AE46F5" w:rsidP="00FF58C6">
      <w:pPr>
        <w:tabs>
          <w:tab w:val="left" w:pos="5400"/>
        </w:tabs>
      </w:pPr>
    </w:p>
    <w:p w14:paraId="73EDD43F" w14:textId="631B91E7" w:rsidR="00FF58C6" w:rsidRPr="00FF58C6" w:rsidRDefault="00FF58C6" w:rsidP="00FF58C6">
      <w:pPr>
        <w:tabs>
          <w:tab w:val="left" w:pos="5400"/>
        </w:tabs>
        <w:rPr>
          <w:b/>
          <w:bCs/>
          <w:u w:val="single"/>
        </w:rPr>
      </w:pPr>
      <w:r w:rsidRPr="00FF58C6">
        <w:rPr>
          <w:b/>
          <w:bCs/>
          <w:u w:val="single"/>
        </w:rPr>
        <w:t xml:space="preserve">Other </w:t>
      </w:r>
    </w:p>
    <w:p w14:paraId="05F466A2" w14:textId="77777777" w:rsidR="00FF58C6" w:rsidRPr="00FF58C6" w:rsidRDefault="00FF58C6" w:rsidP="00FF58C6">
      <w:pPr>
        <w:tabs>
          <w:tab w:val="left" w:pos="5400"/>
        </w:tabs>
      </w:pPr>
      <w:r w:rsidRPr="00FF58C6">
        <w:t>21/22                £13,811.42</w:t>
      </w:r>
    </w:p>
    <w:p w14:paraId="0C11FE24" w14:textId="77777777" w:rsidR="00FF58C6" w:rsidRPr="00FF58C6" w:rsidRDefault="00FF58C6" w:rsidP="00FF58C6">
      <w:pPr>
        <w:tabs>
          <w:tab w:val="left" w:pos="5400"/>
        </w:tabs>
      </w:pPr>
      <w:r w:rsidRPr="00FF58C6">
        <w:t>22/23                £10,525.76</w:t>
      </w:r>
    </w:p>
    <w:p w14:paraId="294F61C7" w14:textId="77777777" w:rsidR="00FF58C6" w:rsidRPr="00FF58C6" w:rsidRDefault="00FF58C6" w:rsidP="00FF58C6">
      <w:pPr>
        <w:tabs>
          <w:tab w:val="left" w:pos="5400"/>
        </w:tabs>
      </w:pPr>
      <w:r w:rsidRPr="00FF58C6">
        <w:t>23/24                £18,033.47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E5A20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70F8B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2680D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1E51C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78BBE8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51BA62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9243A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1EFA"/>
    <w:rsid w:val="00540A52"/>
    <w:rsid w:val="005506B0"/>
    <w:rsid w:val="00557306"/>
    <w:rsid w:val="00645CFA"/>
    <w:rsid w:val="00685219"/>
    <w:rsid w:val="006B0615"/>
    <w:rsid w:val="006C576C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9A7AC8"/>
    <w:rsid w:val="00A04A7E"/>
    <w:rsid w:val="00A25E93"/>
    <w:rsid w:val="00A320FF"/>
    <w:rsid w:val="00A70AC0"/>
    <w:rsid w:val="00A84EA9"/>
    <w:rsid w:val="00AC443C"/>
    <w:rsid w:val="00AC6465"/>
    <w:rsid w:val="00AE46F5"/>
    <w:rsid w:val="00B033D6"/>
    <w:rsid w:val="00B11A55"/>
    <w:rsid w:val="00B17211"/>
    <w:rsid w:val="00B461B2"/>
    <w:rsid w:val="00B654B6"/>
    <w:rsid w:val="00B71B3C"/>
    <w:rsid w:val="00BB13B3"/>
    <w:rsid w:val="00BC389E"/>
    <w:rsid w:val="00BE174A"/>
    <w:rsid w:val="00BE1888"/>
    <w:rsid w:val="00BE4F44"/>
    <w:rsid w:val="00BF6B81"/>
    <w:rsid w:val="00C077A8"/>
    <w:rsid w:val="00C14FF4"/>
    <w:rsid w:val="00C1679F"/>
    <w:rsid w:val="00C37442"/>
    <w:rsid w:val="00C606A2"/>
    <w:rsid w:val="00C63872"/>
    <w:rsid w:val="00C84948"/>
    <w:rsid w:val="00C94ED8"/>
    <w:rsid w:val="00CF1111"/>
    <w:rsid w:val="00D05706"/>
    <w:rsid w:val="00D27DC5"/>
    <w:rsid w:val="00D47E36"/>
    <w:rsid w:val="00D571D8"/>
    <w:rsid w:val="00DA1167"/>
    <w:rsid w:val="00DF3689"/>
    <w:rsid w:val="00E25AB4"/>
    <w:rsid w:val="00E366D4"/>
    <w:rsid w:val="00E55D79"/>
    <w:rsid w:val="00E76A11"/>
    <w:rsid w:val="00EE2373"/>
    <w:rsid w:val="00EF0FBB"/>
    <w:rsid w:val="00EF4761"/>
    <w:rsid w:val="00F36EF3"/>
    <w:rsid w:val="00F40E44"/>
    <w:rsid w:val="00FC2DA7"/>
    <w:rsid w:val="00FC3266"/>
    <w:rsid w:val="00FE44E2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481</Words>
  <Characters>2747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