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28D7EF" w:rsidR="00B17211" w:rsidRPr="00B17211" w:rsidRDefault="00B17211" w:rsidP="007F490F">
            <w:r w:rsidRPr="007F490F">
              <w:rPr>
                <w:rStyle w:val="Heading2Char"/>
              </w:rPr>
              <w:t>Our reference:</w:t>
            </w:r>
            <w:r>
              <w:t xml:space="preserve">  FOI 2</w:t>
            </w:r>
            <w:r w:rsidR="00AC443C">
              <w:t>3</w:t>
            </w:r>
            <w:r>
              <w:t>-</w:t>
            </w:r>
            <w:r w:rsidR="00235725">
              <w:t>2909</w:t>
            </w:r>
          </w:p>
          <w:p w14:paraId="34BDABA6" w14:textId="23DED9A5" w:rsidR="00B17211" w:rsidRDefault="00456324" w:rsidP="00EE2373">
            <w:r w:rsidRPr="007F490F">
              <w:rPr>
                <w:rStyle w:val="Heading2Char"/>
              </w:rPr>
              <w:t>Respon</w:t>
            </w:r>
            <w:r w:rsidR="007D55F6">
              <w:rPr>
                <w:rStyle w:val="Heading2Char"/>
              </w:rPr>
              <w:t>ded to:</w:t>
            </w:r>
            <w:r w:rsidR="007F490F">
              <w:t xml:space="preserve">  </w:t>
            </w:r>
            <w:r w:rsidR="00235725">
              <w:t>18</w:t>
            </w:r>
            <w:r w:rsidR="00235725" w:rsidRPr="00235725">
              <w:rPr>
                <w:vertAlign w:val="superscript"/>
              </w:rPr>
              <w:t>th</w:t>
            </w:r>
            <w:r w:rsidR="00235725">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9183562" w14:textId="760C250C"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 xml:space="preserve">My request concerns police-recorded hate crime offences that have been classed as antisemitic or Islamophobic. </w:t>
      </w:r>
    </w:p>
    <w:p w14:paraId="23E2B8EA" w14:textId="4AF631B9"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Could you please send me the following information:</w:t>
      </w:r>
    </w:p>
    <w:p w14:paraId="696932D9" w14:textId="61DE637E"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1) The number of antisemitic offences recorded by your force from:</w:t>
      </w:r>
    </w:p>
    <w:p w14:paraId="03D08C59" w14:textId="77777777"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a) October 7 to November 7 2023 inclusive.</w:t>
      </w:r>
    </w:p>
    <w:p w14:paraId="72A4D9D1" w14:textId="77777777"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b) October 7 to November 7 2022 inclusive.</w:t>
      </w:r>
    </w:p>
    <w:p w14:paraId="2B65A10C" w14:textId="2B9BB815"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c) October 7 to November 7 2021 inclusive.</w:t>
      </w:r>
    </w:p>
    <w:p w14:paraId="52D06E6F" w14:textId="0FF1D945"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2) The number of Islamophobic offences recorded by your force from:</w:t>
      </w:r>
    </w:p>
    <w:p w14:paraId="21298918" w14:textId="77777777"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a) October 7 to November 7 2023 inclusive.</w:t>
      </w:r>
    </w:p>
    <w:p w14:paraId="517D1F5B" w14:textId="77777777" w:rsidR="00235725" w:rsidRP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b) October 7 to November 7 2022 inclusive.</w:t>
      </w:r>
    </w:p>
    <w:p w14:paraId="436E9BFA" w14:textId="77777777" w:rsidR="00235725" w:rsidRDefault="00235725" w:rsidP="00235725">
      <w:pPr>
        <w:tabs>
          <w:tab w:val="left" w:pos="5400"/>
        </w:tabs>
        <w:rPr>
          <w:rFonts w:eastAsiaTheme="majorEastAsia" w:cstheme="majorBidi"/>
          <w:b/>
          <w:color w:val="000000" w:themeColor="text1"/>
          <w:szCs w:val="26"/>
        </w:rPr>
      </w:pPr>
      <w:r w:rsidRPr="00235725">
        <w:rPr>
          <w:rFonts w:eastAsiaTheme="majorEastAsia" w:cstheme="majorBidi"/>
          <w:b/>
          <w:color w:val="000000" w:themeColor="text1"/>
          <w:szCs w:val="26"/>
        </w:rPr>
        <w:t>c) October 7 to November 7 2021 inclusive.</w:t>
      </w:r>
    </w:p>
    <w:p w14:paraId="708A396D" w14:textId="00840E0F" w:rsidR="00240B60" w:rsidRPr="009A16D3" w:rsidRDefault="00240B60" w:rsidP="00240B60">
      <w:pPr>
        <w:jc w:val="both"/>
      </w:pPr>
      <w:r w:rsidRPr="009A16D3">
        <w:t>In response to your request, I regret to inform you that I am unable to provide you with the information you have requested, as it would prove too costly to do so within the context of the fee regulations.</w:t>
      </w:r>
    </w:p>
    <w:p w14:paraId="3E0D57CE" w14:textId="651C17FC" w:rsidR="00240B60" w:rsidRPr="009A16D3" w:rsidRDefault="00240B60" w:rsidP="00240B60">
      <w:pPr>
        <w:jc w:val="both"/>
      </w:pPr>
      <w:r w:rsidRPr="009A16D3">
        <w:t>As you may be aware the current cost threshold is £600 and I estimate that it would cost well in excess of this amount to process your request.</w:t>
      </w:r>
    </w:p>
    <w:p w14:paraId="718BA257" w14:textId="01D103C8" w:rsidR="00240B60" w:rsidRPr="009A16D3" w:rsidRDefault="00240B60" w:rsidP="00240B60">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3AFFB431" w14:textId="77777777" w:rsidR="00240B60" w:rsidRPr="00240B60" w:rsidRDefault="00240B60" w:rsidP="00240B60">
      <w:pPr>
        <w:tabs>
          <w:tab w:val="left" w:pos="5400"/>
        </w:tabs>
        <w:outlineLvl w:val="0"/>
      </w:pPr>
      <w:r w:rsidRPr="009A16D3">
        <w:t xml:space="preserve">By way of explanation, </w:t>
      </w:r>
      <w:r w:rsidRPr="00240B60">
        <w:t xml:space="preserve">Police Scotland defines a </w:t>
      </w:r>
      <w:r w:rsidRPr="00240B60">
        <w:rPr>
          <w:bCs/>
        </w:rPr>
        <w:t xml:space="preserve">hate incident </w:t>
      </w:r>
      <w:r w:rsidRPr="00240B60">
        <w:t>as ‘any incident which is perceived by the victim or any other person to be motivated (wholly or partly) by malice and ill-will towards a social group, but which does not constitute a criminal offence.’</w:t>
      </w:r>
    </w:p>
    <w:p w14:paraId="7EB09F4E" w14:textId="77777777" w:rsidR="00240B60" w:rsidRPr="00240B60" w:rsidRDefault="00240B60" w:rsidP="00240B60">
      <w:pPr>
        <w:tabs>
          <w:tab w:val="left" w:pos="5400"/>
        </w:tabs>
        <w:outlineLvl w:val="0"/>
      </w:pPr>
      <w:r w:rsidRPr="00240B60">
        <w:lastRenderedPageBreak/>
        <w:t xml:space="preserve">Police Scotland defines a </w:t>
      </w:r>
      <w:r w:rsidRPr="00240B60">
        <w:rPr>
          <w:bCs/>
        </w:rPr>
        <w:t xml:space="preserve">hate crime </w:t>
      </w:r>
      <w:r w:rsidRPr="00240B60">
        <w:t>as, ‘any crime which is perceived by the victim or any other person, to be motivated (wholly or partly) by malice and ill-will towards a social group.’</w:t>
      </w:r>
    </w:p>
    <w:p w14:paraId="6F3F7FEB" w14:textId="0778E897" w:rsidR="00240B60" w:rsidRPr="00240B60" w:rsidRDefault="00240B60" w:rsidP="00240B60">
      <w:pPr>
        <w:tabs>
          <w:tab w:val="left" w:pos="5400"/>
        </w:tabs>
        <w:outlineLvl w:val="0"/>
      </w:pPr>
      <w:r w:rsidRPr="00240B60">
        <w:t>Social groups are identified in accordance with the Lord Advocates guidelines on Aggravations of Offences against Prejudice for example, race, sexual orientation, religion/faith, disability or transgender identity.</w:t>
      </w:r>
    </w:p>
    <w:p w14:paraId="329F6E23" w14:textId="77777777" w:rsidR="00240B60" w:rsidRPr="00240B60" w:rsidRDefault="00240B60" w:rsidP="00240B60">
      <w:pPr>
        <w:tabs>
          <w:tab w:val="left" w:pos="5400"/>
        </w:tabs>
        <w:outlineLvl w:val="0"/>
      </w:pPr>
      <w:r w:rsidRPr="00240B60">
        <w:t xml:space="preserve">The interim Vulnerable Persons Database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w:t>
      </w:r>
      <w:hyperlink r:id="rId11" w:history="1">
        <w:r w:rsidRPr="00240B60">
          <w:rPr>
            <w:rStyle w:val="Hyperlink"/>
          </w:rPr>
          <w:t>Victims and Witnesses (Scotland) Act 2014</w:t>
        </w:r>
      </w:hyperlink>
      <w:r w:rsidRPr="00240B60">
        <w:rPr>
          <w:u w:val="single"/>
        </w:rPr>
        <w:t>.</w:t>
      </w:r>
      <w:r w:rsidRPr="00240B60">
        <w:t xml:space="preserve"> </w:t>
      </w:r>
    </w:p>
    <w:p w14:paraId="2950FE39" w14:textId="77777777" w:rsidR="00240B60" w:rsidRPr="00240B60" w:rsidRDefault="00240B60" w:rsidP="00240B60">
      <w:pPr>
        <w:tabs>
          <w:tab w:val="left" w:pos="5400"/>
        </w:tabs>
        <w:outlineLvl w:val="0"/>
      </w:pPr>
      <w:r w:rsidRPr="00240B60">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23358B74" w14:textId="77777777" w:rsidR="00240B60" w:rsidRPr="00240B60" w:rsidRDefault="00240B60" w:rsidP="00240B60">
      <w:pPr>
        <w:tabs>
          <w:tab w:val="left" w:pos="5400"/>
        </w:tabs>
        <w:outlineLvl w:val="0"/>
      </w:pPr>
      <w:r w:rsidRPr="00240B60">
        <w:t>Additionally, on iVPD the term nominal relates to a person, victim or perpetrator involved in a crime.</w:t>
      </w:r>
    </w:p>
    <w:p w14:paraId="69D1E95C" w14:textId="6A821D25" w:rsidR="00240B60" w:rsidRDefault="00240B60" w:rsidP="00240B60">
      <w:pPr>
        <w:tabs>
          <w:tab w:val="left" w:pos="5400"/>
        </w:tabs>
        <w:outlineLvl w:val="0"/>
      </w:pPr>
      <w:r>
        <w:t>We therefore do not have a way to extract the information you have requested without a manual review of each hate crime with a Race or Religion marker associated with it</w:t>
      </w:r>
      <w:r w:rsidR="00574D4A">
        <w:t xml:space="preserve"> to determine if it related to</w:t>
      </w:r>
      <w:r w:rsidR="00574D4A" w:rsidRPr="00574D4A">
        <w:t xml:space="preserve"> </w:t>
      </w:r>
      <w:r w:rsidR="00574D4A" w:rsidRPr="00574D4A">
        <w:t>antisemitic</w:t>
      </w:r>
      <w:r w:rsidR="00574D4A">
        <w:t xml:space="preserve"> or </w:t>
      </w:r>
      <w:r w:rsidR="00574D4A" w:rsidRPr="00574D4A">
        <w:t>Islamophobic</w:t>
      </w:r>
      <w:r w:rsidR="00574D4A">
        <w:t xml:space="preserve"> offences.</w:t>
      </w:r>
    </w:p>
    <w:p w14:paraId="5337658C" w14:textId="450D77CC" w:rsidR="00240B60" w:rsidRDefault="00240B60" w:rsidP="00240B60">
      <w:pPr>
        <w:tabs>
          <w:tab w:val="left" w:pos="5400"/>
        </w:tabs>
        <w:outlineLvl w:val="0"/>
      </w:pPr>
      <w:r>
        <w:t xml:space="preserve">In this case </w:t>
      </w:r>
      <w:r w:rsidRPr="00240B60">
        <w:t>1,048</w:t>
      </w:r>
      <w:r>
        <w:t xml:space="preserve"> records would need to be manually checked.  At a conservative estimate of 5 minutes per record, this equates to over 87 hours of work to provide the information requested.</w:t>
      </w:r>
    </w:p>
    <w:p w14:paraId="0F3F89AC" w14:textId="77777777" w:rsidR="00240B60" w:rsidRDefault="00240B60" w:rsidP="00240B60">
      <w:pPr>
        <w:tabs>
          <w:tab w:val="left" w:pos="5400"/>
        </w:tabs>
        <w:outlineLvl w:val="0"/>
      </w:pPr>
      <w:r w:rsidRPr="00355C57">
        <w:t xml:space="preserve">Police Scotland have assessed that the £600 cost limit within the Act equates to 40 hours of work </w:t>
      </w:r>
      <w:r>
        <w:t>and</w:t>
      </w:r>
      <w:r w:rsidRPr="00355C57">
        <w:t xml:space="preserve"> so this part of your request would breach the cost threshold.</w:t>
      </w:r>
    </w:p>
    <w:p w14:paraId="5BD0DAC3" w14:textId="11DD8161" w:rsidR="00240B60" w:rsidRDefault="00240B60" w:rsidP="00240B60">
      <w:pPr>
        <w:tabs>
          <w:tab w:val="left" w:pos="5400"/>
        </w:tabs>
        <w:outlineLvl w:val="0"/>
      </w:pPr>
      <w:r>
        <w:t xml:space="preserve">To be of some assistance however, I have included </w:t>
      </w:r>
      <w:r w:rsidRPr="00622D61">
        <w:rPr>
          <w:u w:val="single"/>
        </w:rPr>
        <w:t>crime</w:t>
      </w:r>
      <w:r>
        <w:t xml:space="preserve"> statistics in relation to Race and Religious hate crimes as well as </w:t>
      </w:r>
      <w:r w:rsidR="00622D61" w:rsidRPr="00622D61">
        <w:t xml:space="preserve">Racial Hate Concern </w:t>
      </w:r>
      <w:r w:rsidR="00622D61" w:rsidRPr="00622D61">
        <w:rPr>
          <w:u w:val="single"/>
        </w:rPr>
        <w:t>Incident</w:t>
      </w:r>
      <w:r w:rsidR="00622D61" w:rsidRPr="00622D61">
        <w:t xml:space="preserve"> Nominals </w:t>
      </w:r>
      <w:r w:rsidR="00622D61">
        <w:t>–</w:t>
      </w:r>
      <w:r w:rsidR="00622D61" w:rsidRPr="00622D61">
        <w:t xml:space="preserve"> </w:t>
      </w:r>
      <w:r w:rsidR="00622D61">
        <w:t xml:space="preserve">with a Racial Hate reason of ‘Jewish’ and </w:t>
      </w:r>
      <w:r w:rsidR="00622D61" w:rsidRPr="00622D61">
        <w:t xml:space="preserve">Religious Hate Concern </w:t>
      </w:r>
      <w:r w:rsidR="00622D61" w:rsidRPr="00622D61">
        <w:rPr>
          <w:u w:val="single"/>
        </w:rPr>
        <w:t>Incident</w:t>
      </w:r>
      <w:r w:rsidR="00622D61" w:rsidRPr="00622D61">
        <w:t xml:space="preserve"> Nominals</w:t>
      </w:r>
      <w:r w:rsidR="00622D61">
        <w:t xml:space="preserve"> – with a Religious Hate reason of </w:t>
      </w:r>
      <w:r w:rsidR="00622D61" w:rsidRPr="00622D61">
        <w:t>'Jewish' and/or 'Muslim'</w:t>
      </w:r>
      <w:r w:rsidR="00622D61">
        <w:t>.</w:t>
      </w:r>
    </w:p>
    <w:p w14:paraId="01C264EA" w14:textId="11D53B58" w:rsidR="00622D61" w:rsidRDefault="00622D61" w:rsidP="00240B60">
      <w:pPr>
        <w:tabs>
          <w:tab w:val="left" w:pos="5400"/>
        </w:tabs>
        <w:outlineLvl w:val="0"/>
      </w:pPr>
      <w:r>
        <w:t>I would ask you to carefully note the caveats provided below each data table.</w:t>
      </w:r>
    </w:p>
    <w:p w14:paraId="12839F6D" w14:textId="0AFB36BC" w:rsidR="00622D61" w:rsidRDefault="00622D61" w:rsidP="00892319">
      <w:pPr>
        <w:pStyle w:val="Heading2"/>
      </w:pPr>
      <w:r>
        <w:lastRenderedPageBreak/>
        <w:t xml:space="preserve">Recorded Race Hate Crime, Police Scotland </w:t>
      </w:r>
      <w:r w:rsidRPr="00892319">
        <w:rPr>
          <w:vertAlign w:val="superscript"/>
        </w:rPr>
        <w:t>1,2</w:t>
      </w:r>
    </w:p>
    <w:p w14:paraId="713AD9B7" w14:textId="5E87C195" w:rsidR="00240B60" w:rsidRDefault="00622D61" w:rsidP="00622D61">
      <w:r>
        <w:t>Period: 7th October - 7th November (inclusive for each year)</w:t>
      </w:r>
    </w:p>
    <w:tbl>
      <w:tblPr>
        <w:tblStyle w:val="TableGrid"/>
        <w:tblW w:w="0" w:type="auto"/>
        <w:tblLook w:val="04A0" w:firstRow="1" w:lastRow="0" w:firstColumn="1" w:lastColumn="0" w:noHBand="0" w:noVBand="1"/>
        <w:tblCaption w:val="Recorded Race Hate Crime 7th October to 7th Novemebr in 2021, 2022 and 2023"/>
        <w:tblDescription w:val="Recorded Race Hate Crime 7th October to 7th Novemebr in 2021, 2022 and 2023"/>
      </w:tblPr>
      <w:tblGrid>
        <w:gridCol w:w="2140"/>
        <w:gridCol w:w="1697"/>
        <w:gridCol w:w="1697"/>
        <w:gridCol w:w="1697"/>
      </w:tblGrid>
      <w:tr w:rsidR="00622D61" w:rsidRPr="00622D61" w14:paraId="41F8F688" w14:textId="77777777" w:rsidTr="000B5864">
        <w:trPr>
          <w:trHeight w:val="320"/>
        </w:trPr>
        <w:tc>
          <w:tcPr>
            <w:tcW w:w="2140" w:type="dxa"/>
            <w:shd w:val="clear" w:color="auto" w:fill="D9D9D9" w:themeFill="background1" w:themeFillShade="D9"/>
            <w:noWrap/>
            <w:hideMark/>
          </w:tcPr>
          <w:p w14:paraId="1322955C" w14:textId="77777777" w:rsidR="00622D61" w:rsidRPr="00622D61" w:rsidRDefault="00622D61">
            <w:pPr>
              <w:rPr>
                <w:b/>
                <w:bCs/>
              </w:rPr>
            </w:pPr>
            <w:r w:rsidRPr="00622D61">
              <w:rPr>
                <w:b/>
                <w:bCs/>
              </w:rPr>
              <w:t>Hate Aggravator</w:t>
            </w:r>
          </w:p>
        </w:tc>
        <w:tc>
          <w:tcPr>
            <w:tcW w:w="1697" w:type="dxa"/>
            <w:shd w:val="clear" w:color="auto" w:fill="D9D9D9" w:themeFill="background1" w:themeFillShade="D9"/>
            <w:noWrap/>
            <w:hideMark/>
          </w:tcPr>
          <w:p w14:paraId="30C89415" w14:textId="77777777" w:rsidR="00622D61" w:rsidRPr="00622D61" w:rsidRDefault="00622D61">
            <w:pPr>
              <w:rPr>
                <w:b/>
                <w:bCs/>
              </w:rPr>
            </w:pPr>
            <w:r w:rsidRPr="00622D61">
              <w:rPr>
                <w:b/>
                <w:bCs/>
              </w:rPr>
              <w:t>2021 Period</w:t>
            </w:r>
          </w:p>
        </w:tc>
        <w:tc>
          <w:tcPr>
            <w:tcW w:w="1697" w:type="dxa"/>
            <w:shd w:val="clear" w:color="auto" w:fill="D9D9D9" w:themeFill="background1" w:themeFillShade="D9"/>
            <w:noWrap/>
            <w:hideMark/>
          </w:tcPr>
          <w:p w14:paraId="19E5C32C" w14:textId="77777777" w:rsidR="00622D61" w:rsidRPr="00622D61" w:rsidRDefault="00622D61">
            <w:pPr>
              <w:rPr>
                <w:b/>
                <w:bCs/>
              </w:rPr>
            </w:pPr>
            <w:r w:rsidRPr="00622D61">
              <w:rPr>
                <w:b/>
                <w:bCs/>
              </w:rPr>
              <w:t>2022 Period</w:t>
            </w:r>
          </w:p>
        </w:tc>
        <w:tc>
          <w:tcPr>
            <w:tcW w:w="1697" w:type="dxa"/>
            <w:shd w:val="clear" w:color="auto" w:fill="D9D9D9" w:themeFill="background1" w:themeFillShade="D9"/>
            <w:noWrap/>
            <w:hideMark/>
          </w:tcPr>
          <w:p w14:paraId="1E7D24C9" w14:textId="77777777" w:rsidR="00622D61" w:rsidRPr="00622D61" w:rsidRDefault="00622D61">
            <w:pPr>
              <w:rPr>
                <w:b/>
                <w:bCs/>
              </w:rPr>
            </w:pPr>
            <w:r w:rsidRPr="00622D61">
              <w:rPr>
                <w:b/>
                <w:bCs/>
              </w:rPr>
              <w:t>2023 Period</w:t>
            </w:r>
          </w:p>
        </w:tc>
      </w:tr>
      <w:tr w:rsidR="00622D61" w:rsidRPr="00622D61" w14:paraId="28DC8A8F" w14:textId="77777777" w:rsidTr="000B5864">
        <w:trPr>
          <w:trHeight w:val="320"/>
        </w:trPr>
        <w:tc>
          <w:tcPr>
            <w:tcW w:w="2140" w:type="dxa"/>
            <w:noWrap/>
            <w:hideMark/>
          </w:tcPr>
          <w:p w14:paraId="07168C23" w14:textId="77777777" w:rsidR="00622D61" w:rsidRPr="00622D61" w:rsidRDefault="00622D61">
            <w:r w:rsidRPr="00622D61">
              <w:t>Race</w:t>
            </w:r>
          </w:p>
        </w:tc>
        <w:tc>
          <w:tcPr>
            <w:tcW w:w="1697" w:type="dxa"/>
            <w:noWrap/>
            <w:hideMark/>
          </w:tcPr>
          <w:p w14:paraId="070ACE32" w14:textId="77777777" w:rsidR="00622D61" w:rsidRPr="00622D61" w:rsidRDefault="00622D61" w:rsidP="00622D61">
            <w:r w:rsidRPr="00622D61">
              <w:t>360</w:t>
            </w:r>
          </w:p>
        </w:tc>
        <w:tc>
          <w:tcPr>
            <w:tcW w:w="1697" w:type="dxa"/>
            <w:noWrap/>
            <w:hideMark/>
          </w:tcPr>
          <w:p w14:paraId="4494FF79" w14:textId="77777777" w:rsidR="00622D61" w:rsidRPr="00622D61" w:rsidRDefault="00622D61" w:rsidP="00622D61">
            <w:r w:rsidRPr="00622D61">
              <w:t>280</w:t>
            </w:r>
          </w:p>
        </w:tc>
        <w:tc>
          <w:tcPr>
            <w:tcW w:w="1697" w:type="dxa"/>
            <w:noWrap/>
            <w:hideMark/>
          </w:tcPr>
          <w:p w14:paraId="23199E59" w14:textId="77777777" w:rsidR="00622D61" w:rsidRPr="00622D61" w:rsidRDefault="00622D61" w:rsidP="00622D61">
            <w:r w:rsidRPr="00622D61">
              <w:t>297</w:t>
            </w:r>
          </w:p>
        </w:tc>
      </w:tr>
    </w:tbl>
    <w:p w14:paraId="0064D7E4" w14:textId="5496BAFE" w:rsidR="00622D61" w:rsidRDefault="00622D61" w:rsidP="00622D61">
      <w:r>
        <w:t>All statistics are provisional and should be treated as management information. All data have been extracted from Police Scotland internal systems and are correct as at 7th December 2023.</w:t>
      </w:r>
    </w:p>
    <w:p w14:paraId="37BAE6A6" w14:textId="4EF3CDDD" w:rsidR="00622D61" w:rsidRDefault="00622D61" w:rsidP="00622D61">
      <w:r>
        <w:t>1. The data was extracted using the incident's raised date and extracted from iVPD by selecting hate crime aggravators individually.</w:t>
      </w:r>
    </w:p>
    <w:p w14:paraId="182F3737" w14:textId="3758BCBD" w:rsidR="00622D61" w:rsidRDefault="00622D61" w:rsidP="00622D61">
      <w:r>
        <w:t>2. As there can be multiple aggravators attached to a hate crime, the total number of aggravators will not reflect the number of unique hate crimes.</w:t>
      </w:r>
    </w:p>
    <w:p w14:paraId="6665F0BA" w14:textId="50C41BCB" w:rsidR="00622D61" w:rsidRDefault="00622D61" w:rsidP="00622D61">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69756F65" w14:textId="08803A88" w:rsidR="00622D61" w:rsidRDefault="00622D61" w:rsidP="00622D61">
      <w:r>
        <w:t>Please note that these data are collated from the Police Scotland iVPD system, which has an automated weeding and retention policy built on to it. A copy of the retention policy is available on the Police Scotland internet site (</w:t>
      </w:r>
      <w:hyperlink r:id="rId12" w:history="1">
        <w:r w:rsidRPr="004441E5">
          <w:rPr>
            <w:rStyle w:val="Hyperlink"/>
          </w:rPr>
          <w:t>https://www.scotland.police.uk/spa-media/nhobty5i/record-retention-sop.pdf</w:t>
        </w:r>
      </w:hyperlink>
      <w:r>
        <w:t>)</w:t>
      </w:r>
    </w:p>
    <w:p w14:paraId="19AFCB5D" w14:textId="77777777" w:rsidR="00622D61" w:rsidRDefault="00622D61" w:rsidP="00622D61"/>
    <w:p w14:paraId="1C19A22A" w14:textId="1DF6C13A" w:rsidR="00622D61" w:rsidRDefault="00622D61" w:rsidP="00892319">
      <w:pPr>
        <w:pStyle w:val="Heading2"/>
      </w:pPr>
      <w:r>
        <w:t xml:space="preserve">Recorded Religious Hate Crime, Police Scotland </w:t>
      </w:r>
      <w:r w:rsidRPr="00892319">
        <w:rPr>
          <w:vertAlign w:val="superscript"/>
        </w:rPr>
        <w:t>1,2</w:t>
      </w:r>
    </w:p>
    <w:p w14:paraId="6B3582C4" w14:textId="1E6EF908" w:rsidR="00622D61" w:rsidRDefault="00622D61" w:rsidP="00622D61">
      <w:r>
        <w:t>Period: 7th October - 7th November (inclusive for each year)</w:t>
      </w:r>
    </w:p>
    <w:tbl>
      <w:tblPr>
        <w:tblStyle w:val="TableGrid"/>
        <w:tblW w:w="0" w:type="auto"/>
        <w:tblLook w:val="04A0" w:firstRow="1" w:lastRow="0" w:firstColumn="1" w:lastColumn="0" w:noHBand="0" w:noVBand="1"/>
        <w:tblCaption w:val="Recorded Religious Hate Crime 7th October to 7th Novemebr in 2021, 2022 and 2023"/>
        <w:tblDescription w:val="Recorded Religious Hate Crime 7th October to 7th Novemebr in 2021, 2022 and 2023"/>
      </w:tblPr>
      <w:tblGrid>
        <w:gridCol w:w="2217"/>
        <w:gridCol w:w="1697"/>
        <w:gridCol w:w="1697"/>
        <w:gridCol w:w="1697"/>
      </w:tblGrid>
      <w:tr w:rsidR="00622D61" w:rsidRPr="00622D61" w14:paraId="10A5893E" w14:textId="77777777" w:rsidTr="000B5864">
        <w:trPr>
          <w:trHeight w:val="310"/>
        </w:trPr>
        <w:tc>
          <w:tcPr>
            <w:tcW w:w="2217" w:type="dxa"/>
            <w:noWrap/>
            <w:hideMark/>
          </w:tcPr>
          <w:p w14:paraId="3F53F7CB" w14:textId="77777777" w:rsidR="00622D61" w:rsidRPr="00622D61" w:rsidRDefault="00622D61" w:rsidP="00622D61">
            <w:pPr>
              <w:tabs>
                <w:tab w:val="left" w:pos="5400"/>
              </w:tabs>
              <w:rPr>
                <w:b/>
                <w:bCs/>
              </w:rPr>
            </w:pPr>
            <w:r w:rsidRPr="00622D61">
              <w:rPr>
                <w:b/>
                <w:bCs/>
              </w:rPr>
              <w:t>Hate Aggravator</w:t>
            </w:r>
          </w:p>
        </w:tc>
        <w:tc>
          <w:tcPr>
            <w:tcW w:w="1697" w:type="dxa"/>
            <w:noWrap/>
            <w:hideMark/>
          </w:tcPr>
          <w:p w14:paraId="1355F8B8" w14:textId="77777777" w:rsidR="00622D61" w:rsidRPr="00622D61" w:rsidRDefault="00622D61" w:rsidP="00622D61">
            <w:pPr>
              <w:tabs>
                <w:tab w:val="left" w:pos="5400"/>
              </w:tabs>
              <w:rPr>
                <w:b/>
                <w:bCs/>
              </w:rPr>
            </w:pPr>
            <w:r w:rsidRPr="00622D61">
              <w:rPr>
                <w:b/>
                <w:bCs/>
              </w:rPr>
              <w:t>2021 Period</w:t>
            </w:r>
          </w:p>
        </w:tc>
        <w:tc>
          <w:tcPr>
            <w:tcW w:w="1697" w:type="dxa"/>
            <w:noWrap/>
            <w:hideMark/>
          </w:tcPr>
          <w:p w14:paraId="643379BE" w14:textId="77777777" w:rsidR="00622D61" w:rsidRPr="00622D61" w:rsidRDefault="00622D61" w:rsidP="00622D61">
            <w:pPr>
              <w:tabs>
                <w:tab w:val="left" w:pos="5400"/>
              </w:tabs>
              <w:rPr>
                <w:b/>
                <w:bCs/>
              </w:rPr>
            </w:pPr>
            <w:r w:rsidRPr="00622D61">
              <w:rPr>
                <w:b/>
                <w:bCs/>
              </w:rPr>
              <w:t>2022 Period</w:t>
            </w:r>
          </w:p>
        </w:tc>
        <w:tc>
          <w:tcPr>
            <w:tcW w:w="1697" w:type="dxa"/>
            <w:noWrap/>
            <w:hideMark/>
          </w:tcPr>
          <w:p w14:paraId="25D25221" w14:textId="77777777" w:rsidR="00622D61" w:rsidRPr="00622D61" w:rsidRDefault="00622D61" w:rsidP="00622D61">
            <w:pPr>
              <w:tabs>
                <w:tab w:val="left" w:pos="5400"/>
              </w:tabs>
              <w:rPr>
                <w:b/>
                <w:bCs/>
              </w:rPr>
            </w:pPr>
            <w:r w:rsidRPr="00622D61">
              <w:rPr>
                <w:b/>
                <w:bCs/>
              </w:rPr>
              <w:t>2023 Period</w:t>
            </w:r>
          </w:p>
        </w:tc>
      </w:tr>
      <w:tr w:rsidR="00622D61" w:rsidRPr="00622D61" w14:paraId="07AB71FE" w14:textId="77777777" w:rsidTr="000B5864">
        <w:trPr>
          <w:trHeight w:val="310"/>
        </w:trPr>
        <w:tc>
          <w:tcPr>
            <w:tcW w:w="2217" w:type="dxa"/>
            <w:noWrap/>
            <w:hideMark/>
          </w:tcPr>
          <w:p w14:paraId="398ECD6A" w14:textId="77777777" w:rsidR="00622D61" w:rsidRPr="00622D61" w:rsidRDefault="00622D61" w:rsidP="00622D61">
            <w:pPr>
              <w:tabs>
                <w:tab w:val="left" w:pos="5400"/>
              </w:tabs>
            </w:pPr>
            <w:r w:rsidRPr="00622D61">
              <w:t>Religion</w:t>
            </w:r>
          </w:p>
        </w:tc>
        <w:tc>
          <w:tcPr>
            <w:tcW w:w="1697" w:type="dxa"/>
            <w:noWrap/>
            <w:hideMark/>
          </w:tcPr>
          <w:p w14:paraId="366B36B2" w14:textId="77777777" w:rsidR="00622D61" w:rsidRPr="00622D61" w:rsidRDefault="00622D61" w:rsidP="00622D61">
            <w:pPr>
              <w:tabs>
                <w:tab w:val="left" w:pos="5400"/>
              </w:tabs>
            </w:pPr>
            <w:r w:rsidRPr="00622D61">
              <w:t>35</w:t>
            </w:r>
          </w:p>
        </w:tc>
        <w:tc>
          <w:tcPr>
            <w:tcW w:w="1697" w:type="dxa"/>
            <w:noWrap/>
            <w:hideMark/>
          </w:tcPr>
          <w:p w14:paraId="4A1E26AD" w14:textId="77777777" w:rsidR="00622D61" w:rsidRPr="00622D61" w:rsidRDefault="00622D61" w:rsidP="00622D61">
            <w:pPr>
              <w:tabs>
                <w:tab w:val="left" w:pos="5400"/>
              </w:tabs>
            </w:pPr>
            <w:r w:rsidRPr="00622D61">
              <w:t>37</w:t>
            </w:r>
          </w:p>
        </w:tc>
        <w:tc>
          <w:tcPr>
            <w:tcW w:w="1697" w:type="dxa"/>
            <w:noWrap/>
            <w:hideMark/>
          </w:tcPr>
          <w:p w14:paraId="01BE96CA" w14:textId="77777777" w:rsidR="00622D61" w:rsidRPr="00622D61" w:rsidRDefault="00622D61" w:rsidP="00622D61">
            <w:pPr>
              <w:tabs>
                <w:tab w:val="left" w:pos="5400"/>
              </w:tabs>
            </w:pPr>
            <w:r w:rsidRPr="00622D61">
              <w:t>39</w:t>
            </w:r>
          </w:p>
        </w:tc>
      </w:tr>
    </w:tbl>
    <w:p w14:paraId="7BBDF94C" w14:textId="0FC26C5A" w:rsidR="00622D61" w:rsidRDefault="00622D61" w:rsidP="00622D61">
      <w:pPr>
        <w:tabs>
          <w:tab w:val="left" w:pos="5400"/>
        </w:tabs>
      </w:pPr>
      <w:r>
        <w:t>All statistics are provisional and should be treated as management information. All data have been extracted from Police Scotland internal systems and are correct as at 7th December 2023.</w:t>
      </w:r>
    </w:p>
    <w:p w14:paraId="4211C601" w14:textId="41C83518" w:rsidR="00622D61" w:rsidRDefault="00622D61" w:rsidP="00622D61">
      <w:pPr>
        <w:tabs>
          <w:tab w:val="left" w:pos="5400"/>
        </w:tabs>
      </w:pPr>
      <w:r>
        <w:lastRenderedPageBreak/>
        <w:t xml:space="preserve">1. The data was extracted using the incident's raised date and extracted from iVPD by selecting hate crime aggravators individually. </w:t>
      </w:r>
    </w:p>
    <w:p w14:paraId="3EE5F5B2" w14:textId="5FC7D8BA" w:rsidR="00622D61" w:rsidRDefault="00622D61" w:rsidP="00622D61">
      <w:pPr>
        <w:tabs>
          <w:tab w:val="left" w:pos="5400"/>
        </w:tabs>
      </w:pPr>
      <w:r>
        <w:t>2. As there can be multiple aggravators attached to a hate crime, the total number of aggravators will not reflect the number of unique hate crimes.</w:t>
      </w:r>
    </w:p>
    <w:p w14:paraId="170F85A2" w14:textId="6AE69901" w:rsidR="00622D61" w:rsidRDefault="00622D61" w:rsidP="00622D61">
      <w:pPr>
        <w:tabs>
          <w:tab w:val="left" w:pos="5400"/>
        </w:tabs>
      </w:pPr>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34BDABBD" w14:textId="15D1C629" w:rsidR="00BF6B81" w:rsidRDefault="00622D61" w:rsidP="00622D61">
      <w:pPr>
        <w:tabs>
          <w:tab w:val="left" w:pos="5400"/>
        </w:tabs>
      </w:pPr>
      <w:r>
        <w:t>Please note that these data are collated from the Police Scotland iVPD system, which has an automated weeding and retention policy built on to it. A copy of the retention policy is available on the Police Scotland internet site (</w:t>
      </w:r>
      <w:hyperlink r:id="rId13" w:history="1">
        <w:r w:rsidRPr="004441E5">
          <w:rPr>
            <w:rStyle w:val="Hyperlink"/>
          </w:rPr>
          <w:t>https://www.scotland.police.uk/spa-media/nhobty5i/record-retention-sop.pdf</w:t>
        </w:r>
      </w:hyperlink>
      <w:r>
        <w:t>)</w:t>
      </w:r>
    </w:p>
    <w:p w14:paraId="376E4FFC" w14:textId="77777777" w:rsidR="00622D61" w:rsidRDefault="00622D61" w:rsidP="00622D61">
      <w:pPr>
        <w:tabs>
          <w:tab w:val="left" w:pos="5400"/>
        </w:tabs>
      </w:pPr>
    </w:p>
    <w:p w14:paraId="06E8BB56" w14:textId="4220D447" w:rsidR="00892319" w:rsidRDefault="00892319" w:rsidP="00892319">
      <w:pPr>
        <w:pStyle w:val="Heading2"/>
      </w:pPr>
      <w:r>
        <w:t xml:space="preserve">Racial Hate Concern Incident Nominals - Racial Hate Reason 'Jewish', Police Scotland </w:t>
      </w:r>
      <w:r w:rsidRPr="00892319">
        <w:rPr>
          <w:vertAlign w:val="superscript"/>
        </w:rPr>
        <w:t>1,2</w:t>
      </w:r>
    </w:p>
    <w:p w14:paraId="708777C2" w14:textId="49554B5D" w:rsidR="00892319" w:rsidRDefault="00892319" w:rsidP="00892319">
      <w:pPr>
        <w:tabs>
          <w:tab w:val="left" w:pos="5400"/>
        </w:tabs>
      </w:pPr>
      <w:r>
        <w:t>Period: 7th October - 7th November (inclusive for each year)</w:t>
      </w:r>
      <w:r>
        <w:tab/>
      </w:r>
    </w:p>
    <w:tbl>
      <w:tblPr>
        <w:tblStyle w:val="TableGrid"/>
        <w:tblW w:w="9630" w:type="dxa"/>
        <w:tblLook w:val="04A0" w:firstRow="1" w:lastRow="0" w:firstColumn="1" w:lastColumn="0" w:noHBand="0" w:noVBand="1"/>
        <w:tblCaption w:val="Racial Hate Concern Incident Nominals - Racial Hate Reason 'Jewish' 7th October to 7th Novemebr in 2021, 2022 and 2023"/>
        <w:tblDescription w:val="Racial Hate Concern Incident Nominals - Racial Hate Reason 'Jewish' 7th October to 7th Novemebr in 2021, 2022 and 2023"/>
      </w:tblPr>
      <w:tblGrid>
        <w:gridCol w:w="4539"/>
        <w:gridCol w:w="1697"/>
        <w:gridCol w:w="1697"/>
        <w:gridCol w:w="1697"/>
      </w:tblGrid>
      <w:tr w:rsidR="00892319" w:rsidRPr="00892319" w14:paraId="6460ABA0" w14:textId="77777777" w:rsidTr="000B5864">
        <w:trPr>
          <w:trHeight w:val="320"/>
        </w:trPr>
        <w:tc>
          <w:tcPr>
            <w:tcW w:w="4539" w:type="dxa"/>
            <w:noWrap/>
            <w:hideMark/>
          </w:tcPr>
          <w:p w14:paraId="6D088CC2" w14:textId="77777777" w:rsidR="00892319" w:rsidRPr="00892319" w:rsidRDefault="00892319" w:rsidP="00892319">
            <w:pPr>
              <w:tabs>
                <w:tab w:val="left" w:pos="5400"/>
              </w:tabs>
              <w:rPr>
                <w:b/>
                <w:bCs/>
              </w:rPr>
            </w:pPr>
            <w:r w:rsidRPr="00892319">
              <w:rPr>
                <w:b/>
                <w:bCs/>
              </w:rPr>
              <w:t>Description</w:t>
            </w:r>
          </w:p>
        </w:tc>
        <w:tc>
          <w:tcPr>
            <w:tcW w:w="1697" w:type="dxa"/>
            <w:noWrap/>
            <w:hideMark/>
          </w:tcPr>
          <w:p w14:paraId="7C0CCFF4" w14:textId="77777777" w:rsidR="00892319" w:rsidRPr="00892319" w:rsidRDefault="00892319" w:rsidP="00892319">
            <w:pPr>
              <w:tabs>
                <w:tab w:val="left" w:pos="5400"/>
              </w:tabs>
              <w:rPr>
                <w:b/>
                <w:bCs/>
              </w:rPr>
            </w:pPr>
            <w:r w:rsidRPr="00892319">
              <w:rPr>
                <w:b/>
                <w:bCs/>
              </w:rPr>
              <w:t>2021 Period</w:t>
            </w:r>
          </w:p>
        </w:tc>
        <w:tc>
          <w:tcPr>
            <w:tcW w:w="1697" w:type="dxa"/>
            <w:noWrap/>
            <w:hideMark/>
          </w:tcPr>
          <w:p w14:paraId="1292CFFC" w14:textId="77777777" w:rsidR="00892319" w:rsidRPr="00892319" w:rsidRDefault="00892319" w:rsidP="00892319">
            <w:pPr>
              <w:tabs>
                <w:tab w:val="left" w:pos="5400"/>
              </w:tabs>
              <w:rPr>
                <w:b/>
                <w:bCs/>
              </w:rPr>
            </w:pPr>
            <w:r w:rsidRPr="00892319">
              <w:rPr>
                <w:b/>
                <w:bCs/>
              </w:rPr>
              <w:t>2022 Period</w:t>
            </w:r>
          </w:p>
        </w:tc>
        <w:tc>
          <w:tcPr>
            <w:tcW w:w="1697" w:type="dxa"/>
            <w:noWrap/>
            <w:hideMark/>
          </w:tcPr>
          <w:p w14:paraId="2541B244" w14:textId="77777777" w:rsidR="00892319" w:rsidRPr="00892319" w:rsidRDefault="00892319" w:rsidP="00892319">
            <w:pPr>
              <w:tabs>
                <w:tab w:val="left" w:pos="5400"/>
              </w:tabs>
              <w:rPr>
                <w:b/>
                <w:bCs/>
              </w:rPr>
            </w:pPr>
            <w:r w:rsidRPr="00892319">
              <w:rPr>
                <w:b/>
                <w:bCs/>
              </w:rPr>
              <w:t>2023 Period</w:t>
            </w:r>
          </w:p>
        </w:tc>
      </w:tr>
      <w:tr w:rsidR="00892319" w:rsidRPr="00892319" w14:paraId="05F6E79B" w14:textId="77777777" w:rsidTr="000B5864">
        <w:trPr>
          <w:trHeight w:val="320"/>
        </w:trPr>
        <w:tc>
          <w:tcPr>
            <w:tcW w:w="4539" w:type="dxa"/>
            <w:noWrap/>
            <w:hideMark/>
          </w:tcPr>
          <w:p w14:paraId="6BA4F98E" w14:textId="77777777" w:rsidR="00892319" w:rsidRPr="00892319" w:rsidRDefault="00892319" w:rsidP="00892319">
            <w:pPr>
              <w:tabs>
                <w:tab w:val="left" w:pos="5400"/>
              </w:tabs>
            </w:pPr>
            <w:r w:rsidRPr="00892319">
              <w:t>Racial Hate Concern Incident Nominals</w:t>
            </w:r>
          </w:p>
        </w:tc>
        <w:tc>
          <w:tcPr>
            <w:tcW w:w="1697" w:type="dxa"/>
            <w:noWrap/>
            <w:hideMark/>
          </w:tcPr>
          <w:p w14:paraId="3306B406" w14:textId="77777777" w:rsidR="00892319" w:rsidRPr="00892319" w:rsidRDefault="00892319" w:rsidP="00892319">
            <w:pPr>
              <w:tabs>
                <w:tab w:val="left" w:pos="5400"/>
              </w:tabs>
            </w:pPr>
            <w:r w:rsidRPr="00892319">
              <w:t>3</w:t>
            </w:r>
          </w:p>
        </w:tc>
        <w:tc>
          <w:tcPr>
            <w:tcW w:w="1697" w:type="dxa"/>
            <w:noWrap/>
            <w:hideMark/>
          </w:tcPr>
          <w:p w14:paraId="23351256" w14:textId="77777777" w:rsidR="00892319" w:rsidRPr="00892319" w:rsidRDefault="00892319" w:rsidP="00892319">
            <w:pPr>
              <w:tabs>
                <w:tab w:val="left" w:pos="5400"/>
              </w:tabs>
            </w:pPr>
            <w:r w:rsidRPr="00892319">
              <w:t>3</w:t>
            </w:r>
          </w:p>
        </w:tc>
        <w:tc>
          <w:tcPr>
            <w:tcW w:w="1697" w:type="dxa"/>
            <w:noWrap/>
            <w:hideMark/>
          </w:tcPr>
          <w:p w14:paraId="460D4402" w14:textId="77777777" w:rsidR="00892319" w:rsidRPr="00892319" w:rsidRDefault="00892319" w:rsidP="00892319">
            <w:pPr>
              <w:tabs>
                <w:tab w:val="left" w:pos="5400"/>
              </w:tabs>
            </w:pPr>
            <w:r w:rsidRPr="00892319">
              <w:t>7</w:t>
            </w:r>
          </w:p>
        </w:tc>
      </w:tr>
    </w:tbl>
    <w:p w14:paraId="36C5C5E5" w14:textId="043E8B76" w:rsidR="00892319" w:rsidRDefault="00892319" w:rsidP="00892319">
      <w:pPr>
        <w:tabs>
          <w:tab w:val="left" w:pos="5400"/>
        </w:tabs>
      </w:pPr>
      <w:r>
        <w:t>All statistics are provisional and should be treated as management information. All data have been extracted from Police Scotland internal systems and are correct as at 7th December 2023.</w:t>
      </w:r>
    </w:p>
    <w:p w14:paraId="5C45BAFB" w14:textId="3F69EE50" w:rsidR="00892319" w:rsidRDefault="00892319" w:rsidP="00892319">
      <w:pPr>
        <w:tabs>
          <w:tab w:val="left" w:pos="5400"/>
        </w:tabs>
      </w:pPr>
      <w:r>
        <w:t>1. The data was extracted using the incident's raised date and extracted from iVPD by selecting racial hate concern incident nominals.  Please note, more than one racial hate reason can be attributed to the racial hate concern incident nominal.</w:t>
      </w:r>
    </w:p>
    <w:p w14:paraId="7A231263" w14:textId="3708F932" w:rsidR="00892319" w:rsidRDefault="00892319" w:rsidP="00892319">
      <w:pPr>
        <w:tabs>
          <w:tab w:val="left" w:pos="5400"/>
        </w:tabs>
      </w:pPr>
      <w:r>
        <w:t xml:space="preserve">2. Please note, </w:t>
      </w:r>
      <w:r w:rsidR="00574D4A">
        <w:t>this table</w:t>
      </w:r>
      <w:r>
        <w:t xml:space="preserve"> is a count of unique Racial hate concern incident nominals, where at least 1 x Racial hate reason is 'Jewish'.  Please note, not all hate incidents result in a crime being recorded.</w:t>
      </w:r>
    </w:p>
    <w:p w14:paraId="705AA852" w14:textId="77777777" w:rsidR="00892319" w:rsidRPr="00892319" w:rsidRDefault="00892319" w:rsidP="00892319">
      <w:pPr>
        <w:tabs>
          <w:tab w:val="left" w:pos="5400"/>
        </w:tabs>
      </w:pPr>
      <w:r w:rsidRPr="00892319">
        <w:t xml:space="preserve">Please note that these data are collated from the Police Scotland iVPD system, which has an automated weeding and retention policy built on to it. A copy of the retention policy is </w:t>
      </w:r>
      <w:r w:rsidRPr="00892319">
        <w:lastRenderedPageBreak/>
        <w:t>available on the Police Scotland internet site (</w:t>
      </w:r>
      <w:hyperlink r:id="rId14" w:history="1">
        <w:r w:rsidRPr="00892319">
          <w:rPr>
            <w:rStyle w:val="Hyperlink"/>
          </w:rPr>
          <w:t>https://www.scotland.police.uk/spa-media/nhobty5i/record-retention-sop.pdf</w:t>
        </w:r>
      </w:hyperlink>
      <w:r w:rsidRPr="00892319">
        <w:t>)</w:t>
      </w:r>
    </w:p>
    <w:p w14:paraId="04DF6780" w14:textId="77777777" w:rsidR="00892319" w:rsidRDefault="00892319" w:rsidP="00892319">
      <w:pPr>
        <w:tabs>
          <w:tab w:val="left" w:pos="5400"/>
        </w:tabs>
      </w:pPr>
    </w:p>
    <w:p w14:paraId="03811E42" w14:textId="01A7F95F" w:rsidR="00892319" w:rsidRDefault="00892319" w:rsidP="00892319">
      <w:pPr>
        <w:pStyle w:val="Heading2"/>
      </w:pPr>
      <w:r>
        <w:t xml:space="preserve">Religious Hate Concern Incidents Nominals - Religious Hate Reason 'Jewish' and/or 'Muslim', Police Scotland </w:t>
      </w:r>
      <w:r w:rsidRPr="00892319">
        <w:rPr>
          <w:vertAlign w:val="superscript"/>
        </w:rPr>
        <w:t>1,2</w:t>
      </w:r>
    </w:p>
    <w:p w14:paraId="190E3F19" w14:textId="77777777" w:rsidR="00892319" w:rsidRDefault="00892319" w:rsidP="00892319">
      <w:pPr>
        <w:tabs>
          <w:tab w:val="left" w:pos="5400"/>
        </w:tabs>
      </w:pPr>
      <w:r>
        <w:t>Period: 7th October - 7th November (inclusive for each year)</w:t>
      </w:r>
      <w:r>
        <w:tab/>
      </w:r>
    </w:p>
    <w:tbl>
      <w:tblPr>
        <w:tblStyle w:val="TableGrid"/>
        <w:tblW w:w="9740" w:type="dxa"/>
        <w:tblLook w:val="04A0" w:firstRow="1" w:lastRow="0" w:firstColumn="1" w:lastColumn="0" w:noHBand="0" w:noVBand="1"/>
        <w:tblCaption w:val="Racial Hate Concern Incident Nominals - Religious Hate Reason 'Jewish' and/or 'Muslim' 7th October to 7th Novemebr in 2021, 2022 and 2023"/>
        <w:tblDescription w:val="Racial Hate Concern Incident Nominals - Religious Hate Reason 'Jewish' and/or 'Muslim' 7th October to 7th Novemebr in 2021, 2022 and 2023"/>
      </w:tblPr>
      <w:tblGrid>
        <w:gridCol w:w="4979"/>
        <w:gridCol w:w="1587"/>
        <w:gridCol w:w="1587"/>
        <w:gridCol w:w="1587"/>
      </w:tblGrid>
      <w:tr w:rsidR="00892319" w:rsidRPr="00892319" w14:paraId="55403CFF" w14:textId="77777777" w:rsidTr="000B5864">
        <w:trPr>
          <w:trHeight w:val="320"/>
        </w:trPr>
        <w:tc>
          <w:tcPr>
            <w:tcW w:w="4979" w:type="dxa"/>
            <w:noWrap/>
            <w:hideMark/>
          </w:tcPr>
          <w:p w14:paraId="1F352571" w14:textId="77777777" w:rsidR="00892319" w:rsidRPr="00892319" w:rsidRDefault="00892319" w:rsidP="00892319">
            <w:pPr>
              <w:tabs>
                <w:tab w:val="left" w:pos="5400"/>
              </w:tabs>
              <w:rPr>
                <w:b/>
                <w:bCs/>
              </w:rPr>
            </w:pPr>
            <w:r w:rsidRPr="00892319">
              <w:rPr>
                <w:b/>
                <w:bCs/>
              </w:rPr>
              <w:t>Description</w:t>
            </w:r>
          </w:p>
        </w:tc>
        <w:tc>
          <w:tcPr>
            <w:tcW w:w="1587" w:type="dxa"/>
            <w:noWrap/>
            <w:hideMark/>
          </w:tcPr>
          <w:p w14:paraId="54EA2821" w14:textId="77777777" w:rsidR="00892319" w:rsidRPr="00892319" w:rsidRDefault="00892319" w:rsidP="00892319">
            <w:pPr>
              <w:tabs>
                <w:tab w:val="left" w:pos="5400"/>
              </w:tabs>
              <w:rPr>
                <w:b/>
                <w:bCs/>
              </w:rPr>
            </w:pPr>
            <w:r w:rsidRPr="00892319">
              <w:rPr>
                <w:b/>
                <w:bCs/>
              </w:rPr>
              <w:t>2021 Period</w:t>
            </w:r>
          </w:p>
        </w:tc>
        <w:tc>
          <w:tcPr>
            <w:tcW w:w="1587" w:type="dxa"/>
            <w:noWrap/>
            <w:hideMark/>
          </w:tcPr>
          <w:p w14:paraId="36127027" w14:textId="77777777" w:rsidR="00892319" w:rsidRPr="00892319" w:rsidRDefault="00892319" w:rsidP="00892319">
            <w:pPr>
              <w:tabs>
                <w:tab w:val="left" w:pos="5400"/>
              </w:tabs>
              <w:rPr>
                <w:b/>
                <w:bCs/>
              </w:rPr>
            </w:pPr>
            <w:r w:rsidRPr="00892319">
              <w:rPr>
                <w:b/>
                <w:bCs/>
              </w:rPr>
              <w:t>2022 Period</w:t>
            </w:r>
          </w:p>
        </w:tc>
        <w:tc>
          <w:tcPr>
            <w:tcW w:w="1587" w:type="dxa"/>
            <w:noWrap/>
            <w:hideMark/>
          </w:tcPr>
          <w:p w14:paraId="7C654CCD" w14:textId="77777777" w:rsidR="00892319" w:rsidRPr="00892319" w:rsidRDefault="00892319" w:rsidP="00892319">
            <w:pPr>
              <w:tabs>
                <w:tab w:val="left" w:pos="5400"/>
              </w:tabs>
              <w:rPr>
                <w:b/>
                <w:bCs/>
              </w:rPr>
            </w:pPr>
            <w:r w:rsidRPr="00892319">
              <w:rPr>
                <w:b/>
                <w:bCs/>
              </w:rPr>
              <w:t>2023 Period</w:t>
            </w:r>
          </w:p>
        </w:tc>
      </w:tr>
      <w:tr w:rsidR="00892319" w:rsidRPr="00892319" w14:paraId="2B15A61A" w14:textId="77777777" w:rsidTr="000B5864">
        <w:trPr>
          <w:trHeight w:val="320"/>
        </w:trPr>
        <w:tc>
          <w:tcPr>
            <w:tcW w:w="4979" w:type="dxa"/>
            <w:noWrap/>
            <w:hideMark/>
          </w:tcPr>
          <w:p w14:paraId="1C70EB77" w14:textId="77777777" w:rsidR="00892319" w:rsidRPr="00892319" w:rsidRDefault="00892319" w:rsidP="00892319">
            <w:pPr>
              <w:tabs>
                <w:tab w:val="left" w:pos="5400"/>
              </w:tabs>
            </w:pPr>
            <w:r w:rsidRPr="00892319">
              <w:t>Religious Hate Concern Incidents Nominals</w:t>
            </w:r>
          </w:p>
        </w:tc>
        <w:tc>
          <w:tcPr>
            <w:tcW w:w="1587" w:type="dxa"/>
            <w:noWrap/>
            <w:hideMark/>
          </w:tcPr>
          <w:p w14:paraId="3305EC21" w14:textId="77777777" w:rsidR="00892319" w:rsidRPr="00892319" w:rsidRDefault="00892319" w:rsidP="00892319">
            <w:pPr>
              <w:tabs>
                <w:tab w:val="left" w:pos="5400"/>
              </w:tabs>
            </w:pPr>
            <w:r w:rsidRPr="00892319">
              <w:t>10</w:t>
            </w:r>
          </w:p>
        </w:tc>
        <w:tc>
          <w:tcPr>
            <w:tcW w:w="1587" w:type="dxa"/>
            <w:noWrap/>
            <w:hideMark/>
          </w:tcPr>
          <w:p w14:paraId="054074CD" w14:textId="77777777" w:rsidR="00892319" w:rsidRPr="00892319" w:rsidRDefault="00892319" w:rsidP="00892319">
            <w:pPr>
              <w:tabs>
                <w:tab w:val="left" w:pos="5400"/>
              </w:tabs>
            </w:pPr>
            <w:r w:rsidRPr="00892319">
              <w:t>15</w:t>
            </w:r>
          </w:p>
        </w:tc>
        <w:tc>
          <w:tcPr>
            <w:tcW w:w="1587" w:type="dxa"/>
            <w:noWrap/>
            <w:hideMark/>
          </w:tcPr>
          <w:p w14:paraId="14CD828A" w14:textId="77777777" w:rsidR="00892319" w:rsidRPr="00892319" w:rsidRDefault="00892319" w:rsidP="00892319">
            <w:pPr>
              <w:tabs>
                <w:tab w:val="left" w:pos="5400"/>
              </w:tabs>
            </w:pPr>
            <w:r w:rsidRPr="00892319">
              <w:t>45</w:t>
            </w:r>
          </w:p>
        </w:tc>
      </w:tr>
    </w:tbl>
    <w:p w14:paraId="3344059A" w14:textId="44F02796" w:rsidR="00892319" w:rsidRDefault="00892319" w:rsidP="00892319">
      <w:pPr>
        <w:tabs>
          <w:tab w:val="left" w:pos="5400"/>
        </w:tabs>
      </w:pPr>
      <w:r>
        <w:t>All statistics are provisional and should be treated as management information. All data have been extracted from Police Scotland internal systems and are correct as at 7th December 2023.</w:t>
      </w:r>
    </w:p>
    <w:p w14:paraId="5397AF59" w14:textId="3A95BF00" w:rsidR="00892319" w:rsidRDefault="00892319" w:rsidP="00892319">
      <w:pPr>
        <w:tabs>
          <w:tab w:val="left" w:pos="5400"/>
        </w:tabs>
      </w:pPr>
      <w:r>
        <w:t>1. The data was extracted using the incident's raised date and extracted from iVPD by selecting religious hate concern incident nominals.  Please note, more than one religious hate reason can be attributed to the religious hate concern incident nominal.</w:t>
      </w:r>
      <w:r>
        <w:tab/>
      </w:r>
    </w:p>
    <w:p w14:paraId="7D2ED154" w14:textId="6B759C4B" w:rsidR="00892319" w:rsidRDefault="00892319" w:rsidP="00892319">
      <w:pPr>
        <w:tabs>
          <w:tab w:val="left" w:pos="5400"/>
        </w:tabs>
      </w:pPr>
      <w:r>
        <w:t xml:space="preserve">2. Please note, </w:t>
      </w:r>
      <w:r w:rsidR="00574D4A">
        <w:t>this table</w:t>
      </w:r>
      <w:r>
        <w:t xml:space="preserve"> is a count of unique Religious hate concern incident nominals, where at least 1 x religious hate reason is 'Jewish' and/or 'Muslim'.  Please note, not all hate incidents result in a crime being recorded.</w:t>
      </w:r>
    </w:p>
    <w:p w14:paraId="08218838" w14:textId="4EEE9A60" w:rsidR="00892319" w:rsidRDefault="00892319" w:rsidP="00892319">
      <w:pPr>
        <w:tabs>
          <w:tab w:val="left" w:pos="5400"/>
        </w:tabs>
      </w:pPr>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2E854CB0" w14:textId="19BA5D68" w:rsidR="00892319" w:rsidRDefault="00892319" w:rsidP="00892319">
      <w:pPr>
        <w:tabs>
          <w:tab w:val="left" w:pos="5400"/>
        </w:tabs>
      </w:pPr>
      <w:r w:rsidRPr="00892319">
        <w:t>Please note that these data are collated from the Police Scotland iVPD system, which has an automated weeding and retention policy built on to it. A copy of the retention policy is available on the Police Scotland internet site (</w:t>
      </w:r>
      <w:hyperlink r:id="rId15" w:history="1">
        <w:r w:rsidRPr="00892319">
          <w:rPr>
            <w:rStyle w:val="Hyperlink"/>
          </w:rPr>
          <w:t>https://www.scotland.police.uk/spa-media/nhobty5i/record-retention-sop.pdf</w:t>
        </w:r>
      </w:hyperlink>
      <w:r w:rsidRPr="00892319">
        <w: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6"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7" w:history="1">
        <w:r w:rsidRPr="007C470A">
          <w:rPr>
            <w:rStyle w:val="Hyperlink"/>
          </w:rPr>
          <w:t>online</w:t>
        </w:r>
      </w:hyperlink>
      <w:r w:rsidRPr="007C470A">
        <w:t>,</w:t>
      </w:r>
      <w:r>
        <w:t xml:space="preserve"> by</w:t>
      </w:r>
      <w:r w:rsidRPr="007C470A">
        <w:t xml:space="preserve"> </w:t>
      </w:r>
      <w:hyperlink r:id="rId18"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9"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2D81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4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B3A6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4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94BB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4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47F39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4D4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5EEFD9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4D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08D67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4D4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864"/>
    <w:rsid w:val="000E2F19"/>
    <w:rsid w:val="000E6526"/>
    <w:rsid w:val="00141533"/>
    <w:rsid w:val="00167528"/>
    <w:rsid w:val="00195CC4"/>
    <w:rsid w:val="00207326"/>
    <w:rsid w:val="00235725"/>
    <w:rsid w:val="00240B60"/>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4D4A"/>
    <w:rsid w:val="00622D61"/>
    <w:rsid w:val="006B6FA4"/>
    <w:rsid w:val="006D5799"/>
    <w:rsid w:val="00750D83"/>
    <w:rsid w:val="00785DBC"/>
    <w:rsid w:val="00793DD5"/>
    <w:rsid w:val="007D55F6"/>
    <w:rsid w:val="007F490F"/>
    <w:rsid w:val="0086779C"/>
    <w:rsid w:val="00874BFD"/>
    <w:rsid w:val="00892319"/>
    <w:rsid w:val="008964EF"/>
    <w:rsid w:val="0094569C"/>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40B60"/>
    <w:rPr>
      <w:color w:val="605E5C"/>
      <w:shd w:val="clear" w:color="auto" w:fill="E1DFDD"/>
    </w:rPr>
  </w:style>
  <w:style w:type="character" w:styleId="FollowedHyperlink">
    <w:name w:val="FollowedHyperlink"/>
    <w:basedOn w:val="DefaultParagraphFont"/>
    <w:uiPriority w:val="99"/>
    <w:semiHidden/>
    <w:unhideWhenUsed/>
    <w:rsid w:val="00622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004">
      <w:bodyDiv w:val="1"/>
      <w:marLeft w:val="0"/>
      <w:marRight w:val="0"/>
      <w:marTop w:val="0"/>
      <w:marBottom w:val="0"/>
      <w:divBdr>
        <w:top w:val="none" w:sz="0" w:space="0" w:color="auto"/>
        <w:left w:val="none" w:sz="0" w:space="0" w:color="auto"/>
        <w:bottom w:val="none" w:sz="0" w:space="0" w:color="auto"/>
        <w:right w:val="none" w:sz="0" w:space="0" w:color="auto"/>
      </w:divBdr>
    </w:div>
    <w:div w:id="764114577">
      <w:bodyDiv w:val="1"/>
      <w:marLeft w:val="0"/>
      <w:marRight w:val="0"/>
      <w:marTop w:val="0"/>
      <w:marBottom w:val="0"/>
      <w:divBdr>
        <w:top w:val="none" w:sz="0" w:space="0" w:color="auto"/>
        <w:left w:val="none" w:sz="0" w:space="0" w:color="auto"/>
        <w:bottom w:val="none" w:sz="0" w:space="0" w:color="auto"/>
        <w:right w:val="none" w:sz="0" w:space="0" w:color="auto"/>
      </w:divBdr>
    </w:div>
    <w:div w:id="789010807">
      <w:bodyDiv w:val="1"/>
      <w:marLeft w:val="0"/>
      <w:marRight w:val="0"/>
      <w:marTop w:val="0"/>
      <w:marBottom w:val="0"/>
      <w:divBdr>
        <w:top w:val="none" w:sz="0" w:space="0" w:color="auto"/>
        <w:left w:val="none" w:sz="0" w:space="0" w:color="auto"/>
        <w:bottom w:val="none" w:sz="0" w:space="0" w:color="auto"/>
        <w:right w:val="none" w:sz="0" w:space="0" w:color="auto"/>
      </w:divBdr>
    </w:div>
    <w:div w:id="813526277">
      <w:bodyDiv w:val="1"/>
      <w:marLeft w:val="0"/>
      <w:marRight w:val="0"/>
      <w:marTop w:val="0"/>
      <w:marBottom w:val="0"/>
      <w:divBdr>
        <w:top w:val="none" w:sz="0" w:space="0" w:color="auto"/>
        <w:left w:val="none" w:sz="0" w:space="0" w:color="auto"/>
        <w:bottom w:val="none" w:sz="0" w:space="0" w:color="auto"/>
        <w:right w:val="none" w:sz="0" w:space="0" w:color="auto"/>
      </w:divBdr>
    </w:div>
    <w:div w:id="1584605051">
      <w:bodyDiv w:val="1"/>
      <w:marLeft w:val="0"/>
      <w:marRight w:val="0"/>
      <w:marTop w:val="0"/>
      <w:marBottom w:val="0"/>
      <w:divBdr>
        <w:top w:val="none" w:sz="0" w:space="0" w:color="auto"/>
        <w:left w:val="none" w:sz="0" w:space="0" w:color="auto"/>
        <w:bottom w:val="none" w:sz="0" w:space="0" w:color="auto"/>
        <w:right w:val="none" w:sz="0" w:space="0" w:color="auto"/>
      </w:divBdr>
    </w:div>
    <w:div w:id="1610313912">
      <w:bodyDiv w:val="1"/>
      <w:marLeft w:val="0"/>
      <w:marRight w:val="0"/>
      <w:marTop w:val="0"/>
      <w:marBottom w:val="0"/>
      <w:divBdr>
        <w:top w:val="none" w:sz="0" w:space="0" w:color="auto"/>
        <w:left w:val="none" w:sz="0" w:space="0" w:color="auto"/>
        <w:bottom w:val="none" w:sz="0" w:space="0" w:color="auto"/>
        <w:right w:val="none" w:sz="0" w:space="0" w:color="auto"/>
      </w:divBdr>
    </w:div>
    <w:div w:id="1811940276">
      <w:bodyDiv w:val="1"/>
      <w:marLeft w:val="0"/>
      <w:marRight w:val="0"/>
      <w:marTop w:val="0"/>
      <w:marBottom w:val="0"/>
      <w:divBdr>
        <w:top w:val="none" w:sz="0" w:space="0" w:color="auto"/>
        <w:left w:val="none" w:sz="0" w:space="0" w:color="auto"/>
        <w:bottom w:val="none" w:sz="0" w:space="0" w:color="auto"/>
        <w:right w:val="none" w:sz="0" w:space="0" w:color="auto"/>
      </w:divBdr>
    </w:div>
    <w:div w:id="1916744210">
      <w:bodyDiv w:val="1"/>
      <w:marLeft w:val="0"/>
      <w:marRight w:val="0"/>
      <w:marTop w:val="0"/>
      <w:marBottom w:val="0"/>
      <w:divBdr>
        <w:top w:val="none" w:sz="0" w:space="0" w:color="auto"/>
        <w:left w:val="none" w:sz="0" w:space="0" w:color="auto"/>
        <w:bottom w:val="none" w:sz="0" w:space="0" w:color="auto"/>
        <w:right w:val="none" w:sz="0" w:space="0" w:color="auto"/>
      </w:divBdr>
    </w:div>
    <w:div w:id="1978105003">
      <w:bodyDiv w:val="1"/>
      <w:marLeft w:val="0"/>
      <w:marRight w:val="0"/>
      <w:marTop w:val="0"/>
      <w:marBottom w:val="0"/>
      <w:divBdr>
        <w:top w:val="none" w:sz="0" w:space="0" w:color="auto"/>
        <w:left w:val="none" w:sz="0" w:space="0" w:color="auto"/>
        <w:bottom w:val="none" w:sz="0" w:space="0" w:color="auto"/>
        <w:right w:val="none" w:sz="0" w:space="0" w:color="auto"/>
      </w:divBdr>
    </w:div>
    <w:div w:id="21199085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spa-media/nhobty5i/record-retention-sop.pdf" TargetMode="External"/><Relationship Id="rId18" Type="http://schemas.openxmlformats.org/officeDocument/2006/relationships/hyperlink" Target="mailto:enquiries@itspublicknowledge.inf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cotland.police.uk/spa-media/nhobty5i/record-retention-sop.pdf" TargetMode="External"/><Relationship Id="rId17" Type="http://schemas.openxmlformats.org/officeDocument/2006/relationships/hyperlink" Target="http://www.itspublicknowledge.info/Appe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asp/2014/1/contents/enacted"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scotland.police.uk/spa-media/nhobty5i/record-retention-sop.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otland.police.uk/access-to-information/freedom-of-information/disclosure-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nhobty5i/record-retention-sop.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1670</Words>
  <Characters>9525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2023-12-18T09:39:00Z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