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16E2601" w:rsidR="00B17211" w:rsidRPr="00B17211" w:rsidRDefault="00B17211" w:rsidP="007F490F">
            <w:r w:rsidRPr="007F490F">
              <w:rPr>
                <w:rStyle w:val="Heading2Char"/>
              </w:rPr>
              <w:t>Our reference:</w:t>
            </w:r>
            <w:r>
              <w:t xml:space="preserve">  FOI 2</w:t>
            </w:r>
            <w:r w:rsidR="00B4358E">
              <w:t>5</w:t>
            </w:r>
            <w:r>
              <w:t>-</w:t>
            </w:r>
            <w:r w:rsidR="006C6729">
              <w:t>2768</w:t>
            </w:r>
          </w:p>
          <w:p w14:paraId="34BDABA6" w14:textId="074A78BD" w:rsidR="00B17211" w:rsidRDefault="00456324" w:rsidP="00EE2373">
            <w:r w:rsidRPr="007F490F">
              <w:rPr>
                <w:rStyle w:val="Heading2Char"/>
              </w:rPr>
              <w:t>Respon</w:t>
            </w:r>
            <w:r w:rsidR="007D55F6">
              <w:rPr>
                <w:rStyle w:val="Heading2Char"/>
              </w:rPr>
              <w:t>ded to:</w:t>
            </w:r>
            <w:r w:rsidR="007F490F">
              <w:t xml:space="preserve">  </w:t>
            </w:r>
            <w:r w:rsidR="006C6729">
              <w:t>19 September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C0E2170" w14:textId="38AD294B" w:rsidR="00941238" w:rsidRPr="00881849" w:rsidRDefault="00941238" w:rsidP="00881849">
      <w:pPr>
        <w:pStyle w:val="Heading2"/>
      </w:pPr>
      <w:r w:rsidRPr="00881849">
        <w:t xml:space="preserve">Kindly provide the following data for each of the calendar years 2022, 2023, 2024, 2025 to date. </w:t>
      </w:r>
    </w:p>
    <w:p w14:paraId="15257EC9" w14:textId="77777777" w:rsidR="00941238" w:rsidRPr="00881849" w:rsidRDefault="00941238" w:rsidP="00881849">
      <w:pPr>
        <w:pStyle w:val="Heading2"/>
      </w:pPr>
    </w:p>
    <w:p w14:paraId="5A7DA83B" w14:textId="4ED86FC3" w:rsidR="00941238" w:rsidRPr="00881849" w:rsidRDefault="00941238" w:rsidP="00881849">
      <w:pPr>
        <w:pStyle w:val="Heading2"/>
      </w:pPr>
      <w:r w:rsidRPr="00881849">
        <w:t>For each individual postcode district EH1 through EH 17 data elements show:.</w:t>
      </w:r>
    </w:p>
    <w:p w14:paraId="21ABB6A7" w14:textId="77777777" w:rsidR="00941238" w:rsidRPr="00881849" w:rsidRDefault="00941238" w:rsidP="00881849">
      <w:pPr>
        <w:pStyle w:val="Heading2"/>
      </w:pPr>
      <w:r w:rsidRPr="00881849">
        <w:t>Number of Fixed Penalty Notices issued to motorists for exceeding the 20 mph limit.</w:t>
      </w:r>
    </w:p>
    <w:p w14:paraId="58F310CE" w14:textId="4DE456DA" w:rsidR="00E61FA6" w:rsidRDefault="008245EF" w:rsidP="008245EF">
      <w:r w:rsidRPr="008245EF">
        <w:t xml:space="preserve">For the </w:t>
      </w:r>
      <w:r w:rsidR="006C6729">
        <w:t>period 1</w:t>
      </w:r>
      <w:r w:rsidR="006C6729" w:rsidRPr="006C6729">
        <w:rPr>
          <w:vertAlign w:val="superscript"/>
        </w:rPr>
        <w:t>st</w:t>
      </w:r>
      <w:r w:rsidR="006C6729">
        <w:t xml:space="preserve"> January</w:t>
      </w:r>
      <w:r w:rsidRPr="008245EF">
        <w:t xml:space="preserve"> 2022 to </w:t>
      </w:r>
      <w:r w:rsidR="006C6729" w:rsidRPr="008245EF">
        <w:t>9</w:t>
      </w:r>
      <w:r w:rsidR="006C6729" w:rsidRPr="008245EF">
        <w:rPr>
          <w:vertAlign w:val="superscript"/>
        </w:rPr>
        <w:t>th</w:t>
      </w:r>
      <w:r w:rsidR="006C6729" w:rsidRPr="008245EF">
        <w:t xml:space="preserve"> September 2025,</w:t>
      </w:r>
      <w:r>
        <w:t xml:space="preserve"> I can confirm that there were 19 FPNs issued for exceeding the </w:t>
      </w:r>
      <w:r w:rsidR="006C6729">
        <w:t>20-mph</w:t>
      </w:r>
      <w:r>
        <w:t xml:space="preserve"> limit within the district EH1- EH17</w:t>
      </w:r>
      <w:r w:rsidR="006C6729">
        <w:t xml:space="preserve">. </w:t>
      </w:r>
    </w:p>
    <w:p w14:paraId="2026D872" w14:textId="1091537A" w:rsidR="006C6729" w:rsidRDefault="006C6729" w:rsidP="008245EF">
      <w:r>
        <w:t>For a breakdown of these per year and postcode please see the table below.</w:t>
      </w:r>
    </w:p>
    <w:tbl>
      <w:tblPr>
        <w:tblStyle w:val="TableGrid"/>
        <w:tblW w:w="0" w:type="auto"/>
        <w:tblLook w:val="04A0" w:firstRow="1" w:lastRow="0" w:firstColumn="1" w:lastColumn="0" w:noHBand="0" w:noVBand="1"/>
      </w:tblPr>
      <w:tblGrid>
        <w:gridCol w:w="1217"/>
        <w:gridCol w:w="750"/>
        <w:gridCol w:w="750"/>
        <w:gridCol w:w="750"/>
        <w:gridCol w:w="750"/>
      </w:tblGrid>
      <w:tr w:rsidR="006C6729" w14:paraId="3BF7531A" w14:textId="77777777" w:rsidTr="006C6729">
        <w:tc>
          <w:tcPr>
            <w:tcW w:w="0" w:type="auto"/>
            <w:shd w:val="clear" w:color="auto" w:fill="D9D9D9" w:themeFill="background1" w:themeFillShade="D9"/>
          </w:tcPr>
          <w:p w14:paraId="328B305F" w14:textId="08D5E2A2" w:rsidR="006C6729" w:rsidRDefault="006C6729" w:rsidP="006C6729">
            <w:r>
              <w:t>Postcode</w:t>
            </w:r>
          </w:p>
        </w:tc>
        <w:tc>
          <w:tcPr>
            <w:tcW w:w="0" w:type="auto"/>
            <w:shd w:val="clear" w:color="auto" w:fill="D9D9D9" w:themeFill="background1" w:themeFillShade="D9"/>
          </w:tcPr>
          <w:p w14:paraId="20CB6815" w14:textId="47C23983" w:rsidR="006C6729" w:rsidRDefault="006C6729" w:rsidP="006C6729">
            <w:r>
              <w:t>2022</w:t>
            </w:r>
          </w:p>
        </w:tc>
        <w:tc>
          <w:tcPr>
            <w:tcW w:w="0" w:type="auto"/>
            <w:shd w:val="clear" w:color="auto" w:fill="D9D9D9" w:themeFill="background1" w:themeFillShade="D9"/>
          </w:tcPr>
          <w:p w14:paraId="3664B09E" w14:textId="1E2DBBDA" w:rsidR="006C6729" w:rsidRDefault="006C6729" w:rsidP="006C6729">
            <w:r>
              <w:t>2023</w:t>
            </w:r>
          </w:p>
        </w:tc>
        <w:tc>
          <w:tcPr>
            <w:tcW w:w="0" w:type="auto"/>
            <w:shd w:val="clear" w:color="auto" w:fill="D9D9D9" w:themeFill="background1" w:themeFillShade="D9"/>
          </w:tcPr>
          <w:p w14:paraId="4FD85FB6" w14:textId="74EED637" w:rsidR="006C6729" w:rsidRDefault="006C6729" w:rsidP="006C6729">
            <w:r>
              <w:t>2024</w:t>
            </w:r>
          </w:p>
        </w:tc>
        <w:tc>
          <w:tcPr>
            <w:tcW w:w="0" w:type="auto"/>
            <w:shd w:val="clear" w:color="auto" w:fill="D9D9D9" w:themeFill="background1" w:themeFillShade="D9"/>
          </w:tcPr>
          <w:p w14:paraId="3ADC9971" w14:textId="11CBE62E" w:rsidR="006C6729" w:rsidRDefault="006C6729" w:rsidP="006C6729">
            <w:r>
              <w:t>2025</w:t>
            </w:r>
          </w:p>
        </w:tc>
      </w:tr>
      <w:tr w:rsidR="006C6729" w14:paraId="3F0F3D37" w14:textId="77777777" w:rsidTr="006C6729">
        <w:tc>
          <w:tcPr>
            <w:tcW w:w="0" w:type="auto"/>
          </w:tcPr>
          <w:p w14:paraId="1A3BD820" w14:textId="1C5690F6" w:rsidR="006C6729" w:rsidRDefault="006C6729" w:rsidP="006C6729">
            <w:r>
              <w:t>EH3</w:t>
            </w:r>
          </w:p>
        </w:tc>
        <w:tc>
          <w:tcPr>
            <w:tcW w:w="0" w:type="auto"/>
          </w:tcPr>
          <w:p w14:paraId="04DF08A3" w14:textId="64AE6726" w:rsidR="006C6729" w:rsidRDefault="006C6729" w:rsidP="006C6729">
            <w:r>
              <w:t>2</w:t>
            </w:r>
          </w:p>
        </w:tc>
        <w:tc>
          <w:tcPr>
            <w:tcW w:w="0" w:type="auto"/>
          </w:tcPr>
          <w:p w14:paraId="7B5B13DA" w14:textId="2E1B37DC" w:rsidR="006C6729" w:rsidRDefault="006C6729" w:rsidP="006C6729">
            <w:r>
              <w:t>0</w:t>
            </w:r>
          </w:p>
        </w:tc>
        <w:tc>
          <w:tcPr>
            <w:tcW w:w="0" w:type="auto"/>
          </w:tcPr>
          <w:p w14:paraId="70158CB3" w14:textId="27A6AE9C" w:rsidR="006C6729" w:rsidRDefault="006C6729" w:rsidP="006C6729">
            <w:r>
              <w:t>0</w:t>
            </w:r>
          </w:p>
        </w:tc>
        <w:tc>
          <w:tcPr>
            <w:tcW w:w="0" w:type="auto"/>
          </w:tcPr>
          <w:p w14:paraId="05C3AEA2" w14:textId="4DA02DAF" w:rsidR="006C6729" w:rsidRDefault="006C6729" w:rsidP="006C6729">
            <w:r>
              <w:t>0</w:t>
            </w:r>
          </w:p>
        </w:tc>
      </w:tr>
      <w:tr w:rsidR="006C6729" w14:paraId="692AFAE2" w14:textId="77777777" w:rsidTr="006C6729">
        <w:tc>
          <w:tcPr>
            <w:tcW w:w="0" w:type="auto"/>
          </w:tcPr>
          <w:p w14:paraId="46AC41F1" w14:textId="136538CA" w:rsidR="006C6729" w:rsidRDefault="006C6729" w:rsidP="006C6729">
            <w:r>
              <w:t>EH4</w:t>
            </w:r>
          </w:p>
        </w:tc>
        <w:tc>
          <w:tcPr>
            <w:tcW w:w="0" w:type="auto"/>
          </w:tcPr>
          <w:p w14:paraId="596AA805" w14:textId="11B8070E" w:rsidR="006C6729" w:rsidRDefault="006C6729" w:rsidP="006C6729">
            <w:r>
              <w:t>2</w:t>
            </w:r>
          </w:p>
        </w:tc>
        <w:tc>
          <w:tcPr>
            <w:tcW w:w="0" w:type="auto"/>
          </w:tcPr>
          <w:p w14:paraId="6BBCB01D" w14:textId="49A9902F" w:rsidR="006C6729" w:rsidRDefault="006C6729" w:rsidP="006C6729">
            <w:r>
              <w:t>1</w:t>
            </w:r>
          </w:p>
        </w:tc>
        <w:tc>
          <w:tcPr>
            <w:tcW w:w="0" w:type="auto"/>
          </w:tcPr>
          <w:p w14:paraId="40BD42BE" w14:textId="40854DE5" w:rsidR="006C6729" w:rsidRDefault="006C6729" w:rsidP="006C6729">
            <w:r>
              <w:t>0</w:t>
            </w:r>
          </w:p>
        </w:tc>
        <w:tc>
          <w:tcPr>
            <w:tcW w:w="0" w:type="auto"/>
          </w:tcPr>
          <w:p w14:paraId="37B656C1" w14:textId="15057F26" w:rsidR="006C6729" w:rsidRDefault="006C6729" w:rsidP="006C6729">
            <w:r>
              <w:t>0</w:t>
            </w:r>
          </w:p>
        </w:tc>
      </w:tr>
      <w:tr w:rsidR="006C6729" w14:paraId="3531D863" w14:textId="77777777" w:rsidTr="006C6729">
        <w:tc>
          <w:tcPr>
            <w:tcW w:w="0" w:type="auto"/>
          </w:tcPr>
          <w:p w14:paraId="30E7A8F6" w14:textId="619D1633" w:rsidR="006C6729" w:rsidRDefault="006C6729" w:rsidP="006C6729">
            <w:r>
              <w:t>EH6</w:t>
            </w:r>
          </w:p>
        </w:tc>
        <w:tc>
          <w:tcPr>
            <w:tcW w:w="0" w:type="auto"/>
          </w:tcPr>
          <w:p w14:paraId="4249BEAF" w14:textId="5BF36D4A" w:rsidR="006C6729" w:rsidRDefault="006C6729" w:rsidP="006C6729">
            <w:r>
              <w:t>3</w:t>
            </w:r>
          </w:p>
        </w:tc>
        <w:tc>
          <w:tcPr>
            <w:tcW w:w="0" w:type="auto"/>
          </w:tcPr>
          <w:p w14:paraId="222506D5" w14:textId="0E42A75C" w:rsidR="006C6729" w:rsidRDefault="006C6729" w:rsidP="006C6729">
            <w:r>
              <w:t>2</w:t>
            </w:r>
          </w:p>
        </w:tc>
        <w:tc>
          <w:tcPr>
            <w:tcW w:w="0" w:type="auto"/>
          </w:tcPr>
          <w:p w14:paraId="0183E942" w14:textId="550A1F02" w:rsidR="006C6729" w:rsidRDefault="006C6729" w:rsidP="006C6729">
            <w:r>
              <w:t>0</w:t>
            </w:r>
          </w:p>
        </w:tc>
        <w:tc>
          <w:tcPr>
            <w:tcW w:w="0" w:type="auto"/>
          </w:tcPr>
          <w:p w14:paraId="3C982E37" w14:textId="0EEB8FDA" w:rsidR="006C6729" w:rsidRDefault="006C6729" w:rsidP="006C6729">
            <w:r>
              <w:t>0</w:t>
            </w:r>
          </w:p>
        </w:tc>
      </w:tr>
      <w:tr w:rsidR="006C6729" w14:paraId="2A937417" w14:textId="77777777" w:rsidTr="006C6729">
        <w:tc>
          <w:tcPr>
            <w:tcW w:w="0" w:type="auto"/>
          </w:tcPr>
          <w:p w14:paraId="54471C30" w14:textId="6E09669A" w:rsidR="006C6729" w:rsidRDefault="006C6729" w:rsidP="006C6729">
            <w:r>
              <w:t>EH7</w:t>
            </w:r>
          </w:p>
        </w:tc>
        <w:tc>
          <w:tcPr>
            <w:tcW w:w="0" w:type="auto"/>
          </w:tcPr>
          <w:p w14:paraId="47114F8E" w14:textId="24B49B7B" w:rsidR="006C6729" w:rsidRDefault="006C6729" w:rsidP="006C6729">
            <w:r>
              <w:t>2</w:t>
            </w:r>
          </w:p>
        </w:tc>
        <w:tc>
          <w:tcPr>
            <w:tcW w:w="0" w:type="auto"/>
          </w:tcPr>
          <w:p w14:paraId="7E25C68F" w14:textId="653AB8AE" w:rsidR="006C6729" w:rsidRDefault="006C6729" w:rsidP="006C6729">
            <w:r>
              <w:t>0</w:t>
            </w:r>
          </w:p>
        </w:tc>
        <w:tc>
          <w:tcPr>
            <w:tcW w:w="0" w:type="auto"/>
          </w:tcPr>
          <w:p w14:paraId="0A3F6333" w14:textId="3F367802" w:rsidR="006C6729" w:rsidRDefault="006C6729" w:rsidP="006C6729">
            <w:r>
              <w:t>2</w:t>
            </w:r>
          </w:p>
        </w:tc>
        <w:tc>
          <w:tcPr>
            <w:tcW w:w="0" w:type="auto"/>
          </w:tcPr>
          <w:p w14:paraId="3CCD49C2" w14:textId="7DFA56C3" w:rsidR="006C6729" w:rsidRDefault="006C6729" w:rsidP="006C6729">
            <w:r>
              <w:t>0</w:t>
            </w:r>
          </w:p>
        </w:tc>
      </w:tr>
      <w:tr w:rsidR="006C6729" w14:paraId="5BF84F46" w14:textId="77777777" w:rsidTr="006C6729">
        <w:tc>
          <w:tcPr>
            <w:tcW w:w="0" w:type="auto"/>
          </w:tcPr>
          <w:p w14:paraId="75D95D4F" w14:textId="1D362DE5" w:rsidR="006C6729" w:rsidRDefault="006C6729" w:rsidP="006C6729">
            <w:r>
              <w:t>EH10</w:t>
            </w:r>
          </w:p>
        </w:tc>
        <w:tc>
          <w:tcPr>
            <w:tcW w:w="0" w:type="auto"/>
          </w:tcPr>
          <w:p w14:paraId="2EDDA06D" w14:textId="3FBD913B" w:rsidR="006C6729" w:rsidRDefault="006C6729" w:rsidP="006C6729">
            <w:r>
              <w:t>0</w:t>
            </w:r>
          </w:p>
        </w:tc>
        <w:tc>
          <w:tcPr>
            <w:tcW w:w="0" w:type="auto"/>
          </w:tcPr>
          <w:p w14:paraId="076051D7" w14:textId="18CBC92C" w:rsidR="006C6729" w:rsidRDefault="006C6729" w:rsidP="006C6729">
            <w:r>
              <w:t>0</w:t>
            </w:r>
          </w:p>
        </w:tc>
        <w:tc>
          <w:tcPr>
            <w:tcW w:w="0" w:type="auto"/>
          </w:tcPr>
          <w:p w14:paraId="15304939" w14:textId="0054813F" w:rsidR="006C6729" w:rsidRDefault="006C6729" w:rsidP="006C6729">
            <w:r>
              <w:t>0</w:t>
            </w:r>
          </w:p>
        </w:tc>
        <w:tc>
          <w:tcPr>
            <w:tcW w:w="0" w:type="auto"/>
          </w:tcPr>
          <w:p w14:paraId="7875D84F" w14:textId="2B02A1E5" w:rsidR="006C6729" w:rsidRDefault="006C6729" w:rsidP="006C6729">
            <w:r>
              <w:t>1</w:t>
            </w:r>
          </w:p>
        </w:tc>
      </w:tr>
      <w:tr w:rsidR="006C6729" w14:paraId="21521A75" w14:textId="77777777" w:rsidTr="006C6729">
        <w:tc>
          <w:tcPr>
            <w:tcW w:w="0" w:type="auto"/>
          </w:tcPr>
          <w:p w14:paraId="1B18BA35" w14:textId="0AE53C2D" w:rsidR="006C6729" w:rsidRDefault="006C6729" w:rsidP="006C6729">
            <w:r>
              <w:t>EH12</w:t>
            </w:r>
          </w:p>
        </w:tc>
        <w:tc>
          <w:tcPr>
            <w:tcW w:w="0" w:type="auto"/>
          </w:tcPr>
          <w:p w14:paraId="1EAC421F" w14:textId="66794C36" w:rsidR="006C6729" w:rsidRDefault="006C6729" w:rsidP="006C6729">
            <w:r>
              <w:t>2</w:t>
            </w:r>
          </w:p>
        </w:tc>
        <w:tc>
          <w:tcPr>
            <w:tcW w:w="0" w:type="auto"/>
          </w:tcPr>
          <w:p w14:paraId="517161F2" w14:textId="5CF16E48" w:rsidR="006C6729" w:rsidRDefault="006C6729" w:rsidP="006C6729">
            <w:r>
              <w:t>0</w:t>
            </w:r>
          </w:p>
        </w:tc>
        <w:tc>
          <w:tcPr>
            <w:tcW w:w="0" w:type="auto"/>
          </w:tcPr>
          <w:p w14:paraId="05C77415" w14:textId="44EF087B" w:rsidR="006C6729" w:rsidRDefault="006C6729" w:rsidP="006C6729">
            <w:r>
              <w:t>0</w:t>
            </w:r>
          </w:p>
        </w:tc>
        <w:tc>
          <w:tcPr>
            <w:tcW w:w="0" w:type="auto"/>
          </w:tcPr>
          <w:p w14:paraId="4FBD0413" w14:textId="07DF7C5E" w:rsidR="006C6729" w:rsidRDefault="006C6729" w:rsidP="006C6729">
            <w:r>
              <w:t>0</w:t>
            </w:r>
          </w:p>
        </w:tc>
      </w:tr>
      <w:tr w:rsidR="006C6729" w14:paraId="6CF98EC7" w14:textId="77777777" w:rsidTr="006C6729">
        <w:tc>
          <w:tcPr>
            <w:tcW w:w="0" w:type="auto"/>
          </w:tcPr>
          <w:p w14:paraId="5BBE1778" w14:textId="4BC521CC" w:rsidR="006C6729" w:rsidRDefault="006C6729" w:rsidP="006C6729">
            <w:r>
              <w:t>EH16</w:t>
            </w:r>
          </w:p>
        </w:tc>
        <w:tc>
          <w:tcPr>
            <w:tcW w:w="0" w:type="auto"/>
          </w:tcPr>
          <w:p w14:paraId="2697359B" w14:textId="566DB445" w:rsidR="006C6729" w:rsidRDefault="006C6729" w:rsidP="006C6729">
            <w:r>
              <w:t>0</w:t>
            </w:r>
          </w:p>
        </w:tc>
        <w:tc>
          <w:tcPr>
            <w:tcW w:w="0" w:type="auto"/>
          </w:tcPr>
          <w:p w14:paraId="11F03B13" w14:textId="35209D11" w:rsidR="006C6729" w:rsidRDefault="006C6729" w:rsidP="006C6729">
            <w:r>
              <w:t>0</w:t>
            </w:r>
          </w:p>
        </w:tc>
        <w:tc>
          <w:tcPr>
            <w:tcW w:w="0" w:type="auto"/>
          </w:tcPr>
          <w:p w14:paraId="4817117B" w14:textId="2125322D" w:rsidR="006C6729" w:rsidRDefault="006C6729" w:rsidP="006C6729">
            <w:r>
              <w:t>0</w:t>
            </w:r>
          </w:p>
        </w:tc>
        <w:tc>
          <w:tcPr>
            <w:tcW w:w="0" w:type="auto"/>
          </w:tcPr>
          <w:p w14:paraId="380683C3" w14:textId="1F0994DA" w:rsidR="006C6729" w:rsidRDefault="006C6729" w:rsidP="006C6729">
            <w:r>
              <w:t>2</w:t>
            </w:r>
          </w:p>
        </w:tc>
      </w:tr>
    </w:tbl>
    <w:p w14:paraId="30464754" w14:textId="77777777" w:rsidR="006C6729" w:rsidRPr="008245EF" w:rsidRDefault="006C6729" w:rsidP="008245EF"/>
    <w:p w14:paraId="538AE8A1" w14:textId="52FF74D9" w:rsidR="00941238" w:rsidRDefault="00941238" w:rsidP="00941238">
      <w:pPr>
        <w:pStyle w:val="Heading2"/>
      </w:pPr>
      <w:r w:rsidRPr="00941238">
        <w:lastRenderedPageBreak/>
        <w:t>Number of speed checks and campaigns carried out to monitor or enforce compliance with the 20-mph limit. Give clarifying remarks as appropriate.</w:t>
      </w:r>
    </w:p>
    <w:p w14:paraId="5F6811A2" w14:textId="2B5CBD41" w:rsidR="00941238" w:rsidRPr="00941238" w:rsidRDefault="00941238" w:rsidP="00941238">
      <w:r w:rsidRPr="00941238">
        <w:t xml:space="preserve">Road safety remains a national priority for police Scotland and is a local policing priority here within E Division. Our primary focus is casualty reduction and there are a number of tactical options at our disposal to help reduce the number of people killed and seriously injured on our roads. Speed enforcement is perhaps the most readily identifiable tactic among the public and is undertaken by Road Policing officers, Community officers and through safety camera deployment, both fixed and mobile. </w:t>
      </w:r>
    </w:p>
    <w:p w14:paraId="36796897" w14:textId="77777777" w:rsidR="00941238" w:rsidRPr="00941238" w:rsidRDefault="00941238" w:rsidP="00941238">
      <w:r w:rsidRPr="00941238">
        <w:t>The Police Scotland Standard Operating Procedure in respect of speed enforcement has been published online and can be found using the following link. This sets out clear direction and operational instruction for officers and staff involved in speed enforcement.</w:t>
      </w:r>
    </w:p>
    <w:p w14:paraId="6AAE428B" w14:textId="77777777" w:rsidR="00941238" w:rsidRPr="00941238" w:rsidRDefault="00941238" w:rsidP="00941238">
      <w:hyperlink r:id="rId11" w:history="1">
        <w:r w:rsidRPr="00941238">
          <w:rPr>
            <w:rStyle w:val="Hyperlink"/>
          </w:rPr>
          <w:t>https://www.scotland.police.uk/access-to-information/policies-and-procedures/standard-operating-procedures/standard-operating-procedures-p-s/</w:t>
        </w:r>
      </w:hyperlink>
    </w:p>
    <w:p w14:paraId="130B38AA" w14:textId="570E994A" w:rsidR="00941238" w:rsidRDefault="00941238" w:rsidP="00941238">
      <w:r w:rsidRPr="00941238">
        <w:t>Road Policing officers carry a handheld speed detection device routinely whilst on patrol. In addition to this, the patrol vehicles are fitted with a calibrated speedometer which allows for offence detection whilst moving. Carrying out speed enforcement is a core and dynamic function and as such, the locations, times and duration of this activity is not specifically recorded</w:t>
      </w:r>
    </w:p>
    <w:p w14:paraId="3B902F4A" w14:textId="77777777" w:rsidR="00881849" w:rsidRPr="00941238" w:rsidRDefault="00881849" w:rsidP="00941238"/>
    <w:p w14:paraId="308992DF" w14:textId="77777777" w:rsidR="00941238" w:rsidRPr="00941238" w:rsidRDefault="00941238" w:rsidP="00941238">
      <w:pPr>
        <w:tabs>
          <w:tab w:val="left" w:pos="5400"/>
        </w:tabs>
        <w:rPr>
          <w:rFonts w:eastAsiaTheme="majorEastAsia" w:cstheme="majorBidi"/>
          <w:b/>
          <w:color w:val="000000" w:themeColor="text1"/>
          <w:szCs w:val="26"/>
        </w:rPr>
      </w:pPr>
      <w:r w:rsidRPr="00941238">
        <w:rPr>
          <w:rFonts w:eastAsiaTheme="majorEastAsia" w:cstheme="majorBidi"/>
          <w:b/>
          <w:color w:val="000000" w:themeColor="text1"/>
          <w:szCs w:val="26"/>
        </w:rPr>
        <w:t>B) Other enforcement actions carried out, if any,  </w:t>
      </w:r>
    </w:p>
    <w:p w14:paraId="34BDABBD" w14:textId="23FA5EAB" w:rsidR="00BF6B81" w:rsidRDefault="00941238" w:rsidP="00941238">
      <w:r>
        <w:t xml:space="preserve">Edinburgh benefits from a network of fixed Safety Cameras and mobile Safety Camera Unit van deployments. </w:t>
      </w:r>
    </w:p>
    <w:p w14:paraId="740D2E51" w14:textId="77777777" w:rsidR="00E61FA6" w:rsidRPr="00B11A55" w:rsidRDefault="00E61FA6" w:rsidP="00941238"/>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lastRenderedPageBreak/>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701671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18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139C0F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18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E0A7DF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18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56696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184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DFD335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184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7AE7A8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184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B2BC3"/>
    <w:multiLevelType w:val="multilevel"/>
    <w:tmpl w:val="1C844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00358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201727"/>
    <w:rsid w:val="00207326"/>
    <w:rsid w:val="00253DF6"/>
    <w:rsid w:val="00255F1E"/>
    <w:rsid w:val="002B7114"/>
    <w:rsid w:val="00332319"/>
    <w:rsid w:val="0036503B"/>
    <w:rsid w:val="003A20BB"/>
    <w:rsid w:val="003D6D03"/>
    <w:rsid w:val="003E12CA"/>
    <w:rsid w:val="004010DC"/>
    <w:rsid w:val="00412F3E"/>
    <w:rsid w:val="004341F0"/>
    <w:rsid w:val="00456324"/>
    <w:rsid w:val="00464084"/>
    <w:rsid w:val="00475460"/>
    <w:rsid w:val="00490317"/>
    <w:rsid w:val="00491644"/>
    <w:rsid w:val="00496A08"/>
    <w:rsid w:val="004E1605"/>
    <w:rsid w:val="004F653C"/>
    <w:rsid w:val="005169E1"/>
    <w:rsid w:val="00540A52"/>
    <w:rsid w:val="00557306"/>
    <w:rsid w:val="0059321B"/>
    <w:rsid w:val="005F10F6"/>
    <w:rsid w:val="0060183F"/>
    <w:rsid w:val="00645CFA"/>
    <w:rsid w:val="00657A5E"/>
    <w:rsid w:val="006C6729"/>
    <w:rsid w:val="006D5799"/>
    <w:rsid w:val="00743BB0"/>
    <w:rsid w:val="00750D83"/>
    <w:rsid w:val="00752ED6"/>
    <w:rsid w:val="00785DBC"/>
    <w:rsid w:val="00793DD5"/>
    <w:rsid w:val="007D55F6"/>
    <w:rsid w:val="007F490F"/>
    <w:rsid w:val="0080345C"/>
    <w:rsid w:val="008060E5"/>
    <w:rsid w:val="008245EF"/>
    <w:rsid w:val="0086779C"/>
    <w:rsid w:val="00874BFD"/>
    <w:rsid w:val="00881849"/>
    <w:rsid w:val="008964EF"/>
    <w:rsid w:val="00906245"/>
    <w:rsid w:val="00915E01"/>
    <w:rsid w:val="00941238"/>
    <w:rsid w:val="009631A4"/>
    <w:rsid w:val="00977296"/>
    <w:rsid w:val="00A061E3"/>
    <w:rsid w:val="00A25E93"/>
    <w:rsid w:val="00A320FF"/>
    <w:rsid w:val="00A70AC0"/>
    <w:rsid w:val="00A725F0"/>
    <w:rsid w:val="00A84EA9"/>
    <w:rsid w:val="00AC443C"/>
    <w:rsid w:val="00AE741E"/>
    <w:rsid w:val="00B11A55"/>
    <w:rsid w:val="00B17211"/>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A2748"/>
    <w:rsid w:val="00E55D79"/>
    <w:rsid w:val="00E61FA6"/>
    <w:rsid w:val="00E75C65"/>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941238"/>
    <w:rPr>
      <w:color w:val="605E5C"/>
      <w:shd w:val="clear" w:color="auto" w:fill="E1DFDD"/>
    </w:rPr>
  </w:style>
  <w:style w:type="character" w:styleId="FollowedHyperlink">
    <w:name w:val="FollowedHyperlink"/>
    <w:basedOn w:val="DefaultParagraphFont"/>
    <w:uiPriority w:val="99"/>
    <w:semiHidden/>
    <w:unhideWhenUsed/>
    <w:rsid w:val="009412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4037">
      <w:bodyDiv w:val="1"/>
      <w:marLeft w:val="0"/>
      <w:marRight w:val="0"/>
      <w:marTop w:val="0"/>
      <w:marBottom w:val="0"/>
      <w:divBdr>
        <w:top w:val="none" w:sz="0" w:space="0" w:color="auto"/>
        <w:left w:val="none" w:sz="0" w:space="0" w:color="auto"/>
        <w:bottom w:val="none" w:sz="0" w:space="0" w:color="auto"/>
        <w:right w:val="none" w:sz="0" w:space="0" w:color="auto"/>
      </w:divBdr>
    </w:div>
    <w:div w:id="765803462">
      <w:bodyDiv w:val="1"/>
      <w:marLeft w:val="0"/>
      <w:marRight w:val="0"/>
      <w:marTop w:val="0"/>
      <w:marBottom w:val="0"/>
      <w:divBdr>
        <w:top w:val="none" w:sz="0" w:space="0" w:color="auto"/>
        <w:left w:val="none" w:sz="0" w:space="0" w:color="auto"/>
        <w:bottom w:val="none" w:sz="0" w:space="0" w:color="auto"/>
        <w:right w:val="none" w:sz="0" w:space="0" w:color="auto"/>
      </w:divBdr>
    </w:div>
    <w:div w:id="1447232727">
      <w:bodyDiv w:val="1"/>
      <w:marLeft w:val="0"/>
      <w:marRight w:val="0"/>
      <w:marTop w:val="0"/>
      <w:marBottom w:val="0"/>
      <w:divBdr>
        <w:top w:val="none" w:sz="0" w:space="0" w:color="auto"/>
        <w:left w:val="none" w:sz="0" w:space="0" w:color="auto"/>
        <w:bottom w:val="none" w:sz="0" w:space="0" w:color="auto"/>
        <w:right w:val="none" w:sz="0" w:space="0" w:color="auto"/>
      </w:divBdr>
    </w:div>
    <w:div w:id="208348350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policies-and-procedures/standard-operating-procedures/standard-operating-procedures-p-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558</Words>
  <Characters>3182</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2025-09-19T12:13:00Z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