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A570077" w:rsidR="00B17211" w:rsidRPr="00B17211" w:rsidRDefault="00B17211" w:rsidP="007F490F">
            <w:r w:rsidRPr="007F490F">
              <w:rPr>
                <w:rStyle w:val="Heading2Char"/>
              </w:rPr>
              <w:t>Our reference:</w:t>
            </w:r>
            <w:r>
              <w:t xml:space="preserve">  FOI 2</w:t>
            </w:r>
            <w:r w:rsidR="00EF0FBB">
              <w:t>5</w:t>
            </w:r>
            <w:r>
              <w:t>-</w:t>
            </w:r>
            <w:r w:rsidR="009C1EF6">
              <w:t>2158</w:t>
            </w:r>
          </w:p>
          <w:p w14:paraId="34BDABA6" w14:textId="46E79EF8" w:rsidR="00B17211" w:rsidRDefault="00456324" w:rsidP="00EE2373">
            <w:r w:rsidRPr="007F490F">
              <w:rPr>
                <w:rStyle w:val="Heading2Char"/>
              </w:rPr>
              <w:t>Respon</w:t>
            </w:r>
            <w:r w:rsidR="007D55F6">
              <w:rPr>
                <w:rStyle w:val="Heading2Char"/>
              </w:rPr>
              <w:t>ded to:</w:t>
            </w:r>
            <w:r w:rsidR="007F490F">
              <w:t xml:space="preserve">  </w:t>
            </w:r>
            <w:r w:rsidR="008D24D7">
              <w:t>11</w:t>
            </w:r>
            <w:r w:rsidR="006D5799">
              <w:t xml:space="preserve"> </w:t>
            </w:r>
            <w:r w:rsidR="009C1EF6">
              <w:t>November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61D8BAF5" w14:textId="77777777" w:rsidR="009C1EF6" w:rsidRPr="009C1EF6" w:rsidRDefault="009C1EF6" w:rsidP="009C1EF6">
      <w:pPr>
        <w:pStyle w:val="Heading2"/>
      </w:pPr>
      <w:r w:rsidRPr="009C1EF6">
        <w:t>1 - How many officers were assaulted while on duty in the past four years, and up to July 2025?</w:t>
      </w:r>
    </w:p>
    <w:p w14:paraId="528945AF" w14:textId="77777777" w:rsidR="009C1EF6" w:rsidRPr="009C1EF6" w:rsidRDefault="009C1EF6" w:rsidP="009C1EF6">
      <w:pPr>
        <w:pStyle w:val="Heading2"/>
      </w:pPr>
      <w:r w:rsidRPr="009C1EF6">
        <w:t>Please give separate figures for 2021, 2022, 2023, 2024 and up to July 2025. </w:t>
      </w:r>
    </w:p>
    <w:p w14:paraId="77432E00" w14:textId="1681F438" w:rsidR="009C1EF6" w:rsidRPr="009C1EF6" w:rsidRDefault="009C1EF6" w:rsidP="009C1EF6">
      <w:pPr>
        <w:pStyle w:val="Heading2"/>
      </w:pPr>
      <w:r w:rsidRPr="009C1EF6">
        <w:t>If possible, please break them down by gend</w:t>
      </w:r>
      <w:r w:rsidR="001C6CB2">
        <w:t>er</w:t>
      </w:r>
      <w:r w:rsidRPr="009C1EF6">
        <w:t xml:space="preserve"> of the victim too. </w:t>
      </w:r>
    </w:p>
    <w:p w14:paraId="26CC7BF0" w14:textId="4B74B321" w:rsidR="00BE1D8C" w:rsidRPr="0085314E" w:rsidRDefault="00BE1D8C" w:rsidP="009C1EF6">
      <w:r w:rsidRPr="0085314E">
        <w:t xml:space="preserve">It is important to note that during the period specified in your request, there was a change to the way in which assaults against police officers and police staff is recorded. </w:t>
      </w:r>
    </w:p>
    <w:p w14:paraId="6EA39B96" w14:textId="54D05365" w:rsidR="009C1EF6" w:rsidRDefault="00D3201B" w:rsidP="009C1EF6">
      <w:r w:rsidRPr="0085314E">
        <w:t xml:space="preserve">From 1 April </w:t>
      </w:r>
      <w:r w:rsidRPr="00570BC5">
        <w:rPr>
          <w:b/>
          <w:bCs/>
        </w:rPr>
        <w:t>2024</w:t>
      </w:r>
      <w:r w:rsidRPr="0085314E">
        <w:t>, the new crime classifications introduced were: ‘Common Assault of police officer/staff (with injury)’, ‘Common Assault of police</w:t>
      </w:r>
      <w:r w:rsidR="00491385" w:rsidRPr="0085314E">
        <w:t xml:space="preserve"> officer</w:t>
      </w:r>
      <w:r w:rsidRPr="0085314E">
        <w:t>/staff (without injury)’</w:t>
      </w:r>
      <w:r w:rsidR="00491385" w:rsidRPr="0085314E">
        <w:t>, and ‘Serious Assault of police officer/staff’.</w:t>
      </w:r>
      <w:r w:rsidR="00491385">
        <w:t xml:space="preserve"> </w:t>
      </w:r>
    </w:p>
    <w:p w14:paraId="46162ACF" w14:textId="44944FEE" w:rsidR="00570BC5" w:rsidRDefault="00570BC5" w:rsidP="00570BC5">
      <w:r>
        <w:t xml:space="preserve">As such, the table below details the number of </w:t>
      </w:r>
      <w:r w:rsidRPr="00CC308A">
        <w:t>recorded police officer assault</w:t>
      </w:r>
      <w:r>
        <w:t xml:space="preserve"> </w:t>
      </w:r>
      <w:r w:rsidRPr="00F72E38">
        <w:t>charges</w:t>
      </w:r>
      <w:r>
        <w:t xml:space="preserve"> from 1 April 2024 to 31 July 2025, inclusive:</w:t>
      </w:r>
    </w:p>
    <w:tbl>
      <w:tblPr>
        <w:tblStyle w:val="TableGrid"/>
        <w:tblW w:w="4531" w:type="dxa"/>
        <w:tblLook w:val="04A0" w:firstRow="1" w:lastRow="0" w:firstColumn="1" w:lastColumn="0" w:noHBand="0" w:noVBand="1"/>
        <w:tblCaption w:val="Example table"/>
        <w:tblDescription w:val="Example table"/>
      </w:tblPr>
      <w:tblGrid>
        <w:gridCol w:w="2547"/>
        <w:gridCol w:w="992"/>
        <w:gridCol w:w="992"/>
      </w:tblGrid>
      <w:tr w:rsidR="00570BC5" w:rsidRPr="00557306" w14:paraId="5E3E68BD" w14:textId="77777777" w:rsidTr="00557A09">
        <w:trPr>
          <w:tblHeader/>
        </w:trPr>
        <w:tc>
          <w:tcPr>
            <w:tcW w:w="2547" w:type="dxa"/>
            <w:shd w:val="clear" w:color="auto" w:fill="D9D9D9" w:themeFill="background1" w:themeFillShade="D9"/>
          </w:tcPr>
          <w:p w14:paraId="5B752FCC" w14:textId="77777777" w:rsidR="00570BC5" w:rsidRPr="00557306" w:rsidRDefault="00570BC5" w:rsidP="00557A09">
            <w:pPr>
              <w:spacing w:line="240" w:lineRule="auto"/>
              <w:jc w:val="center"/>
              <w:rPr>
                <w:b/>
              </w:rPr>
            </w:pPr>
            <w:r>
              <w:rPr>
                <w:b/>
              </w:rPr>
              <w:t>Crime Category</w:t>
            </w:r>
          </w:p>
        </w:tc>
        <w:tc>
          <w:tcPr>
            <w:tcW w:w="992" w:type="dxa"/>
            <w:shd w:val="clear" w:color="auto" w:fill="D9D9D9" w:themeFill="background1" w:themeFillShade="D9"/>
          </w:tcPr>
          <w:p w14:paraId="39B794D4" w14:textId="77777777" w:rsidR="00570BC5" w:rsidRPr="00557306" w:rsidRDefault="00570BC5" w:rsidP="00557A09">
            <w:pPr>
              <w:spacing w:line="240" w:lineRule="auto"/>
              <w:jc w:val="center"/>
              <w:rPr>
                <w:b/>
              </w:rPr>
            </w:pPr>
            <w:r>
              <w:rPr>
                <w:b/>
              </w:rPr>
              <w:t>2024</w:t>
            </w:r>
          </w:p>
        </w:tc>
        <w:tc>
          <w:tcPr>
            <w:tcW w:w="992" w:type="dxa"/>
            <w:shd w:val="clear" w:color="auto" w:fill="D9D9D9" w:themeFill="background1" w:themeFillShade="D9"/>
          </w:tcPr>
          <w:p w14:paraId="52D55C2F" w14:textId="77777777" w:rsidR="00570BC5" w:rsidRPr="00557306" w:rsidRDefault="00570BC5" w:rsidP="00557A09">
            <w:pPr>
              <w:spacing w:line="240" w:lineRule="auto"/>
              <w:jc w:val="center"/>
              <w:rPr>
                <w:b/>
              </w:rPr>
            </w:pPr>
            <w:r>
              <w:rPr>
                <w:b/>
              </w:rPr>
              <w:t>2025</w:t>
            </w:r>
          </w:p>
        </w:tc>
      </w:tr>
      <w:tr w:rsidR="00570BC5" w14:paraId="61CE0B13" w14:textId="77777777" w:rsidTr="00557A09">
        <w:trPr>
          <w:trHeight w:val="70"/>
        </w:trPr>
        <w:tc>
          <w:tcPr>
            <w:tcW w:w="2547" w:type="dxa"/>
          </w:tcPr>
          <w:p w14:paraId="1B45098E" w14:textId="77777777" w:rsidR="00570BC5" w:rsidRDefault="00570BC5" w:rsidP="00557A09">
            <w:pPr>
              <w:tabs>
                <w:tab w:val="left" w:pos="5400"/>
              </w:tabs>
              <w:spacing w:line="240" w:lineRule="auto"/>
            </w:pPr>
            <w:r>
              <w:t>Common Assault</w:t>
            </w:r>
          </w:p>
        </w:tc>
        <w:tc>
          <w:tcPr>
            <w:tcW w:w="992" w:type="dxa"/>
            <w:vAlign w:val="center"/>
          </w:tcPr>
          <w:p w14:paraId="428C5FD5" w14:textId="77777777" w:rsidR="00570BC5" w:rsidRPr="00BD03EF" w:rsidRDefault="00570BC5" w:rsidP="00557A09">
            <w:pPr>
              <w:tabs>
                <w:tab w:val="left" w:pos="5400"/>
              </w:tabs>
              <w:spacing w:line="240" w:lineRule="auto"/>
              <w:jc w:val="right"/>
            </w:pPr>
            <w:r w:rsidRPr="00BD03EF">
              <w:rPr>
                <w:color w:val="000000"/>
              </w:rPr>
              <w:t>5</w:t>
            </w:r>
            <w:r>
              <w:rPr>
                <w:color w:val="000000"/>
              </w:rPr>
              <w:t>,</w:t>
            </w:r>
            <w:r w:rsidRPr="00BD03EF">
              <w:rPr>
                <w:color w:val="000000"/>
              </w:rPr>
              <w:t>434</w:t>
            </w:r>
          </w:p>
        </w:tc>
        <w:tc>
          <w:tcPr>
            <w:tcW w:w="992" w:type="dxa"/>
            <w:vAlign w:val="center"/>
          </w:tcPr>
          <w:p w14:paraId="1E4540A7" w14:textId="77777777" w:rsidR="00570BC5" w:rsidRPr="00BD03EF" w:rsidRDefault="00570BC5" w:rsidP="00557A09">
            <w:pPr>
              <w:tabs>
                <w:tab w:val="left" w:pos="5400"/>
              </w:tabs>
              <w:spacing w:line="240" w:lineRule="auto"/>
              <w:jc w:val="right"/>
            </w:pPr>
            <w:r w:rsidRPr="00BD03EF">
              <w:rPr>
                <w:color w:val="000000"/>
              </w:rPr>
              <w:t>4</w:t>
            </w:r>
            <w:r>
              <w:rPr>
                <w:color w:val="000000"/>
              </w:rPr>
              <w:t>,</w:t>
            </w:r>
            <w:r w:rsidRPr="00BD03EF">
              <w:rPr>
                <w:color w:val="000000"/>
              </w:rPr>
              <w:t>407</w:t>
            </w:r>
          </w:p>
        </w:tc>
      </w:tr>
      <w:tr w:rsidR="00570BC5" w14:paraId="02408B4D" w14:textId="77777777" w:rsidTr="00557A09">
        <w:tc>
          <w:tcPr>
            <w:tcW w:w="2547" w:type="dxa"/>
          </w:tcPr>
          <w:p w14:paraId="388BD1E3" w14:textId="77777777" w:rsidR="00570BC5" w:rsidRDefault="00570BC5" w:rsidP="00557A09">
            <w:pPr>
              <w:tabs>
                <w:tab w:val="left" w:pos="5400"/>
              </w:tabs>
              <w:spacing w:line="240" w:lineRule="auto"/>
            </w:pPr>
            <w:r>
              <w:t>Serious Assault</w:t>
            </w:r>
          </w:p>
        </w:tc>
        <w:tc>
          <w:tcPr>
            <w:tcW w:w="992" w:type="dxa"/>
            <w:vAlign w:val="bottom"/>
          </w:tcPr>
          <w:p w14:paraId="66FFC036" w14:textId="77777777" w:rsidR="00570BC5" w:rsidRPr="00D40CF4" w:rsidRDefault="00570BC5" w:rsidP="00557A09">
            <w:pPr>
              <w:tabs>
                <w:tab w:val="left" w:pos="5400"/>
              </w:tabs>
              <w:spacing w:line="240" w:lineRule="auto"/>
              <w:jc w:val="right"/>
            </w:pPr>
            <w:r>
              <w:rPr>
                <w:color w:val="000000"/>
                <w:sz w:val="22"/>
                <w:szCs w:val="22"/>
              </w:rPr>
              <w:t xml:space="preserve"> 15</w:t>
            </w:r>
          </w:p>
        </w:tc>
        <w:tc>
          <w:tcPr>
            <w:tcW w:w="992" w:type="dxa"/>
            <w:vAlign w:val="bottom"/>
          </w:tcPr>
          <w:p w14:paraId="7C7DD425" w14:textId="77777777" w:rsidR="00570BC5" w:rsidRPr="00D40CF4" w:rsidRDefault="00570BC5" w:rsidP="00557A09">
            <w:pPr>
              <w:tabs>
                <w:tab w:val="left" w:pos="5400"/>
              </w:tabs>
              <w:spacing w:line="240" w:lineRule="auto"/>
              <w:jc w:val="right"/>
            </w:pPr>
            <w:r>
              <w:rPr>
                <w:color w:val="000000"/>
                <w:sz w:val="22"/>
                <w:szCs w:val="22"/>
              </w:rPr>
              <w:t xml:space="preserve"> 11</w:t>
            </w:r>
          </w:p>
        </w:tc>
      </w:tr>
    </w:tbl>
    <w:p w14:paraId="012CC631" w14:textId="77777777" w:rsidR="00570BC5" w:rsidRDefault="00570BC5" w:rsidP="00570BC5">
      <w:r w:rsidRPr="00BD03EF">
        <w:t xml:space="preserve">All statistics are provisional and should be treated as management information. </w:t>
      </w:r>
    </w:p>
    <w:p w14:paraId="2DBC08A4" w14:textId="77777777" w:rsidR="00570BC5" w:rsidRDefault="00570BC5" w:rsidP="00570BC5">
      <w:r w:rsidRPr="00BD03EF">
        <w:t>All data have been extracted from Police Scotland internal systems and are correct as of 10</w:t>
      </w:r>
      <w:r>
        <w:t xml:space="preserve"> </w:t>
      </w:r>
      <w:r w:rsidRPr="00BD03EF">
        <w:t>October 2025.</w:t>
      </w:r>
    </w:p>
    <w:p w14:paraId="21A446F4" w14:textId="19ED6ED8" w:rsidR="00570BC5" w:rsidRDefault="00570BC5" w:rsidP="00E12194">
      <w:r w:rsidRPr="00BD03EF">
        <w:t xml:space="preserve">The </w:t>
      </w:r>
      <w:r>
        <w:t>r</w:t>
      </w:r>
      <w:r w:rsidRPr="00BD03EF">
        <w:t xml:space="preserve">ecorded </w:t>
      </w:r>
      <w:r>
        <w:t>c</w:t>
      </w:r>
      <w:r w:rsidRPr="00BD03EF">
        <w:t xml:space="preserve">rimes </w:t>
      </w:r>
      <w:r w:rsidR="000A76B8">
        <w:t>were</w:t>
      </w:r>
      <w:r w:rsidRPr="00BD03EF">
        <w:t xml:space="preserve"> extracted using the </w:t>
      </w:r>
      <w:r>
        <w:t>d</w:t>
      </w:r>
      <w:r w:rsidRPr="00BD03EF">
        <w:t xml:space="preserve">ate </w:t>
      </w:r>
      <w:r>
        <w:t>r</w:t>
      </w:r>
      <w:r w:rsidRPr="00BD03EF">
        <w:t>aised</w:t>
      </w:r>
      <w:r>
        <w:t xml:space="preserve"> </w:t>
      </w:r>
      <w:r w:rsidR="00E12194">
        <w:t xml:space="preserve">and </w:t>
      </w:r>
      <w:r w:rsidRPr="00BD03EF">
        <w:t xml:space="preserve">selecting the </w:t>
      </w:r>
      <w:r w:rsidR="00E12194">
        <w:t>crime codes associated with: ‘</w:t>
      </w:r>
      <w:r w:rsidRPr="00BD03EF">
        <w:t xml:space="preserve">Common </w:t>
      </w:r>
      <w:r>
        <w:t>A</w:t>
      </w:r>
      <w:r w:rsidRPr="00BD03EF">
        <w:t>ssault of police officer/staff (with injury)</w:t>
      </w:r>
      <w:r w:rsidR="00E12194">
        <w:t>’</w:t>
      </w:r>
      <w:r>
        <w:t xml:space="preserve">, </w:t>
      </w:r>
      <w:r w:rsidR="00E12194">
        <w:t>‘</w:t>
      </w:r>
      <w:r w:rsidRPr="00BD03EF">
        <w:t xml:space="preserve">Common </w:t>
      </w:r>
      <w:r>
        <w:t>A</w:t>
      </w:r>
      <w:r w:rsidRPr="00BD03EF">
        <w:t>ssault of police officer/staff (without injury)</w:t>
      </w:r>
      <w:r w:rsidR="00E12194">
        <w:t>’</w:t>
      </w:r>
      <w:r w:rsidRPr="00BD03EF">
        <w:t>,</w:t>
      </w:r>
      <w:r>
        <w:t xml:space="preserve"> and</w:t>
      </w:r>
      <w:r w:rsidRPr="00BD03EF">
        <w:t xml:space="preserve"> </w:t>
      </w:r>
      <w:r w:rsidR="00E12194">
        <w:t>‘</w:t>
      </w:r>
      <w:r w:rsidRPr="00BD03EF">
        <w:t>Serious Assault of a police</w:t>
      </w:r>
      <w:r>
        <w:t xml:space="preserve"> officer/staff</w:t>
      </w:r>
      <w:r w:rsidR="00E12194">
        <w:t>’</w:t>
      </w:r>
      <w:r>
        <w:t>.</w:t>
      </w:r>
      <w:r w:rsidR="00AD46AC">
        <w:t xml:space="preserve"> To reiterate</w:t>
      </w:r>
      <w:r w:rsidR="000D719F">
        <w:t>, t</w:t>
      </w:r>
      <w:r w:rsidRPr="00731209">
        <w:t xml:space="preserve">hese crime codes </w:t>
      </w:r>
      <w:r w:rsidR="00E242AD">
        <w:t xml:space="preserve">only </w:t>
      </w:r>
      <w:r w:rsidRPr="00731209">
        <w:t>came into force</w:t>
      </w:r>
      <w:r>
        <w:t xml:space="preserve"> on</w:t>
      </w:r>
      <w:r w:rsidRPr="00731209">
        <w:t xml:space="preserve"> 1 April 2024.</w:t>
      </w:r>
    </w:p>
    <w:p w14:paraId="2E3ED1D8" w14:textId="5A18A2BB" w:rsidR="004F6E7A" w:rsidRDefault="004F6E7A" w:rsidP="009C1EF6">
      <w:r>
        <w:t>Additionally</w:t>
      </w:r>
      <w:r w:rsidR="00570BC5">
        <w:t xml:space="preserve">, </w:t>
      </w:r>
      <w:r w:rsidR="006F087A">
        <w:t>the tab</w:t>
      </w:r>
      <w:r w:rsidR="00F048B7">
        <w:t>le below details the gender of</w:t>
      </w:r>
      <w:r>
        <w:t xml:space="preserve"> some of</w:t>
      </w:r>
      <w:r w:rsidR="00F048B7">
        <w:t xml:space="preserve"> the victim</w:t>
      </w:r>
      <w:r>
        <w:t>s*</w:t>
      </w:r>
      <w:r w:rsidR="006359A9">
        <w:t xml:space="preserve"> of </w:t>
      </w:r>
      <w:r>
        <w:t xml:space="preserve">those </w:t>
      </w:r>
      <w:r w:rsidR="006359A9" w:rsidRPr="00CC308A">
        <w:t>recorded police officer assault</w:t>
      </w:r>
      <w:r w:rsidR="006359A9">
        <w:t xml:space="preserve"> </w:t>
      </w:r>
      <w:r w:rsidR="006359A9" w:rsidRPr="00F72E38">
        <w:t>charges</w:t>
      </w:r>
      <w:r>
        <w:t>:</w:t>
      </w:r>
    </w:p>
    <w:tbl>
      <w:tblPr>
        <w:tblStyle w:val="TableGrid"/>
        <w:tblW w:w="7078" w:type="dxa"/>
        <w:tblLook w:val="04A0" w:firstRow="1" w:lastRow="0" w:firstColumn="1" w:lastColumn="0" w:noHBand="0" w:noVBand="1"/>
        <w:tblCaption w:val="Example table"/>
        <w:tblDescription w:val="Example table"/>
      </w:tblPr>
      <w:tblGrid>
        <w:gridCol w:w="2263"/>
        <w:gridCol w:w="2831"/>
        <w:gridCol w:w="992"/>
        <w:gridCol w:w="992"/>
      </w:tblGrid>
      <w:tr w:rsidR="00F048B7" w:rsidRPr="00557306" w14:paraId="50C54A16" w14:textId="77777777" w:rsidTr="00F048B7">
        <w:trPr>
          <w:tblHeader/>
        </w:trPr>
        <w:tc>
          <w:tcPr>
            <w:tcW w:w="2263" w:type="dxa"/>
            <w:shd w:val="clear" w:color="auto" w:fill="D9D9D9" w:themeFill="background1" w:themeFillShade="D9"/>
          </w:tcPr>
          <w:p w14:paraId="6FE3CDE7" w14:textId="0230F91D" w:rsidR="00F048B7" w:rsidRDefault="00F048B7" w:rsidP="00BD17F3">
            <w:pPr>
              <w:spacing w:line="240" w:lineRule="auto"/>
              <w:jc w:val="center"/>
              <w:rPr>
                <w:b/>
              </w:rPr>
            </w:pPr>
            <w:r>
              <w:rPr>
                <w:b/>
              </w:rPr>
              <w:lastRenderedPageBreak/>
              <w:t>Gender of Victim</w:t>
            </w:r>
          </w:p>
        </w:tc>
        <w:tc>
          <w:tcPr>
            <w:tcW w:w="2831" w:type="dxa"/>
            <w:shd w:val="clear" w:color="auto" w:fill="D9D9D9" w:themeFill="background1" w:themeFillShade="D9"/>
          </w:tcPr>
          <w:p w14:paraId="0B569E05" w14:textId="08E5B880" w:rsidR="00F048B7" w:rsidRPr="00557306" w:rsidRDefault="00F048B7" w:rsidP="00BD17F3">
            <w:pPr>
              <w:spacing w:line="240" w:lineRule="auto"/>
              <w:jc w:val="center"/>
              <w:rPr>
                <w:b/>
              </w:rPr>
            </w:pPr>
            <w:r>
              <w:rPr>
                <w:b/>
              </w:rPr>
              <w:t>Crime Category</w:t>
            </w:r>
          </w:p>
        </w:tc>
        <w:tc>
          <w:tcPr>
            <w:tcW w:w="992" w:type="dxa"/>
            <w:shd w:val="clear" w:color="auto" w:fill="D9D9D9" w:themeFill="background1" w:themeFillShade="D9"/>
          </w:tcPr>
          <w:p w14:paraId="14F8D912" w14:textId="77777777" w:rsidR="00F048B7" w:rsidRPr="00557306" w:rsidRDefault="00F048B7" w:rsidP="00BD17F3">
            <w:pPr>
              <w:spacing w:line="240" w:lineRule="auto"/>
              <w:jc w:val="center"/>
              <w:rPr>
                <w:b/>
              </w:rPr>
            </w:pPr>
            <w:r>
              <w:rPr>
                <w:b/>
              </w:rPr>
              <w:t>2024</w:t>
            </w:r>
          </w:p>
        </w:tc>
        <w:tc>
          <w:tcPr>
            <w:tcW w:w="992" w:type="dxa"/>
            <w:shd w:val="clear" w:color="auto" w:fill="D9D9D9" w:themeFill="background1" w:themeFillShade="D9"/>
          </w:tcPr>
          <w:p w14:paraId="29AC444F" w14:textId="77777777" w:rsidR="00F048B7" w:rsidRPr="00557306" w:rsidRDefault="00F048B7" w:rsidP="00BD17F3">
            <w:pPr>
              <w:spacing w:line="240" w:lineRule="auto"/>
              <w:jc w:val="center"/>
              <w:rPr>
                <w:b/>
              </w:rPr>
            </w:pPr>
            <w:r>
              <w:rPr>
                <w:b/>
              </w:rPr>
              <w:t>2025</w:t>
            </w:r>
          </w:p>
        </w:tc>
      </w:tr>
      <w:tr w:rsidR="00F048B7" w14:paraId="1F65F01C" w14:textId="77777777" w:rsidTr="00E67A22">
        <w:trPr>
          <w:trHeight w:val="70"/>
        </w:trPr>
        <w:tc>
          <w:tcPr>
            <w:tcW w:w="2263" w:type="dxa"/>
            <w:vMerge w:val="restart"/>
          </w:tcPr>
          <w:p w14:paraId="089F2B15" w14:textId="405437B0" w:rsidR="00F048B7" w:rsidRDefault="00F048B7" w:rsidP="00F048B7">
            <w:pPr>
              <w:tabs>
                <w:tab w:val="left" w:pos="5400"/>
              </w:tabs>
              <w:spacing w:line="240" w:lineRule="auto"/>
              <w:jc w:val="center"/>
            </w:pPr>
            <w:r>
              <w:t>Female</w:t>
            </w:r>
          </w:p>
        </w:tc>
        <w:tc>
          <w:tcPr>
            <w:tcW w:w="2831" w:type="dxa"/>
          </w:tcPr>
          <w:p w14:paraId="3BB82175" w14:textId="115F1B18" w:rsidR="00F048B7" w:rsidRDefault="00F048B7" w:rsidP="00F048B7">
            <w:pPr>
              <w:tabs>
                <w:tab w:val="left" w:pos="5400"/>
              </w:tabs>
              <w:spacing w:line="240" w:lineRule="auto"/>
            </w:pPr>
            <w:r>
              <w:t>Common Assault</w:t>
            </w:r>
          </w:p>
        </w:tc>
        <w:tc>
          <w:tcPr>
            <w:tcW w:w="992" w:type="dxa"/>
            <w:vAlign w:val="bottom"/>
          </w:tcPr>
          <w:p w14:paraId="21E85BD3" w14:textId="33A98066" w:rsidR="00F048B7" w:rsidRPr="00BD03EF" w:rsidRDefault="00F048B7" w:rsidP="00F048B7">
            <w:pPr>
              <w:tabs>
                <w:tab w:val="left" w:pos="5400"/>
              </w:tabs>
              <w:spacing w:line="240" w:lineRule="auto"/>
              <w:jc w:val="right"/>
            </w:pPr>
            <w:r>
              <w:rPr>
                <w:color w:val="000000"/>
              </w:rPr>
              <w:t>1,255</w:t>
            </w:r>
          </w:p>
        </w:tc>
        <w:tc>
          <w:tcPr>
            <w:tcW w:w="992" w:type="dxa"/>
            <w:vAlign w:val="bottom"/>
          </w:tcPr>
          <w:p w14:paraId="6A176AB7" w14:textId="52D59636" w:rsidR="00F048B7" w:rsidRPr="00BD03EF" w:rsidRDefault="00F048B7" w:rsidP="00F048B7">
            <w:pPr>
              <w:tabs>
                <w:tab w:val="left" w:pos="5400"/>
              </w:tabs>
              <w:spacing w:line="240" w:lineRule="auto"/>
              <w:jc w:val="right"/>
            </w:pPr>
            <w:r>
              <w:rPr>
                <w:color w:val="000000"/>
              </w:rPr>
              <w:t>1,075</w:t>
            </w:r>
          </w:p>
        </w:tc>
      </w:tr>
      <w:tr w:rsidR="00F048B7" w14:paraId="58E490A7" w14:textId="77777777" w:rsidTr="00F048B7">
        <w:tc>
          <w:tcPr>
            <w:tcW w:w="2263" w:type="dxa"/>
            <w:vMerge/>
          </w:tcPr>
          <w:p w14:paraId="287281F4" w14:textId="77777777" w:rsidR="00F048B7" w:rsidRDefault="00F048B7" w:rsidP="00F048B7">
            <w:pPr>
              <w:tabs>
                <w:tab w:val="left" w:pos="5400"/>
              </w:tabs>
              <w:spacing w:line="240" w:lineRule="auto"/>
              <w:jc w:val="center"/>
            </w:pPr>
          </w:p>
        </w:tc>
        <w:tc>
          <w:tcPr>
            <w:tcW w:w="2831" w:type="dxa"/>
          </w:tcPr>
          <w:p w14:paraId="24B91ECA" w14:textId="5D44836B" w:rsidR="00F048B7" w:rsidRDefault="00F048B7" w:rsidP="00F048B7">
            <w:pPr>
              <w:tabs>
                <w:tab w:val="left" w:pos="5400"/>
              </w:tabs>
              <w:spacing w:line="240" w:lineRule="auto"/>
            </w:pPr>
            <w:r>
              <w:t>Serious Assault</w:t>
            </w:r>
          </w:p>
        </w:tc>
        <w:tc>
          <w:tcPr>
            <w:tcW w:w="992" w:type="dxa"/>
            <w:vAlign w:val="bottom"/>
          </w:tcPr>
          <w:p w14:paraId="6CDF0332" w14:textId="0CC9D5D2" w:rsidR="00F048B7" w:rsidRPr="00D40CF4" w:rsidRDefault="00F048B7" w:rsidP="00F048B7">
            <w:pPr>
              <w:tabs>
                <w:tab w:val="left" w:pos="5400"/>
              </w:tabs>
              <w:spacing w:line="240" w:lineRule="auto"/>
              <w:jc w:val="right"/>
            </w:pPr>
            <w:r>
              <w:rPr>
                <w:color w:val="000000"/>
              </w:rPr>
              <w:t xml:space="preserve"> 3</w:t>
            </w:r>
          </w:p>
        </w:tc>
        <w:tc>
          <w:tcPr>
            <w:tcW w:w="992" w:type="dxa"/>
            <w:vAlign w:val="bottom"/>
          </w:tcPr>
          <w:p w14:paraId="428A90DF" w14:textId="361C8A5E" w:rsidR="00F048B7" w:rsidRPr="00D40CF4" w:rsidRDefault="00F048B7" w:rsidP="00F048B7">
            <w:pPr>
              <w:tabs>
                <w:tab w:val="left" w:pos="5400"/>
              </w:tabs>
              <w:spacing w:line="240" w:lineRule="auto"/>
              <w:jc w:val="right"/>
            </w:pPr>
            <w:r>
              <w:rPr>
                <w:color w:val="000000"/>
              </w:rPr>
              <w:t xml:space="preserve"> 4</w:t>
            </w:r>
          </w:p>
        </w:tc>
      </w:tr>
      <w:tr w:rsidR="00F048B7" w14:paraId="19BCDB81" w14:textId="77777777" w:rsidTr="00F048B7">
        <w:tc>
          <w:tcPr>
            <w:tcW w:w="2263" w:type="dxa"/>
            <w:vMerge w:val="restart"/>
          </w:tcPr>
          <w:p w14:paraId="15FD07C3" w14:textId="79E93C31" w:rsidR="00F048B7" w:rsidRDefault="00F048B7" w:rsidP="00F048B7">
            <w:pPr>
              <w:tabs>
                <w:tab w:val="left" w:pos="5400"/>
              </w:tabs>
              <w:spacing w:line="240" w:lineRule="auto"/>
              <w:jc w:val="center"/>
            </w:pPr>
            <w:r>
              <w:t>Male</w:t>
            </w:r>
          </w:p>
        </w:tc>
        <w:tc>
          <w:tcPr>
            <w:tcW w:w="2831" w:type="dxa"/>
          </w:tcPr>
          <w:p w14:paraId="271F9032" w14:textId="245F8C7B" w:rsidR="00F048B7" w:rsidRDefault="00F048B7" w:rsidP="00F048B7">
            <w:pPr>
              <w:tabs>
                <w:tab w:val="left" w:pos="5400"/>
              </w:tabs>
              <w:spacing w:line="240" w:lineRule="auto"/>
            </w:pPr>
            <w:r>
              <w:t>Common Assault</w:t>
            </w:r>
          </w:p>
        </w:tc>
        <w:tc>
          <w:tcPr>
            <w:tcW w:w="992" w:type="dxa"/>
            <w:vAlign w:val="bottom"/>
          </w:tcPr>
          <w:p w14:paraId="00EB852A" w14:textId="312FEA55" w:rsidR="00F048B7" w:rsidRDefault="00F048B7" w:rsidP="00F048B7">
            <w:pPr>
              <w:tabs>
                <w:tab w:val="left" w:pos="5400"/>
              </w:tabs>
              <w:spacing w:line="240" w:lineRule="auto"/>
              <w:jc w:val="right"/>
              <w:rPr>
                <w:color w:val="000000"/>
                <w:sz w:val="22"/>
                <w:szCs w:val="22"/>
              </w:rPr>
            </w:pPr>
            <w:r>
              <w:rPr>
                <w:color w:val="000000"/>
              </w:rPr>
              <w:t>3,045</w:t>
            </w:r>
          </w:p>
        </w:tc>
        <w:tc>
          <w:tcPr>
            <w:tcW w:w="992" w:type="dxa"/>
            <w:vAlign w:val="bottom"/>
          </w:tcPr>
          <w:p w14:paraId="66605C2B" w14:textId="51F0B558" w:rsidR="00F048B7" w:rsidRDefault="00F048B7" w:rsidP="00F048B7">
            <w:pPr>
              <w:tabs>
                <w:tab w:val="left" w:pos="5400"/>
              </w:tabs>
              <w:spacing w:line="240" w:lineRule="auto"/>
              <w:jc w:val="right"/>
              <w:rPr>
                <w:color w:val="000000"/>
                <w:sz w:val="22"/>
                <w:szCs w:val="22"/>
              </w:rPr>
            </w:pPr>
            <w:r>
              <w:rPr>
                <w:color w:val="000000"/>
              </w:rPr>
              <w:t>2,628</w:t>
            </w:r>
          </w:p>
        </w:tc>
      </w:tr>
      <w:tr w:rsidR="00F048B7" w14:paraId="5C8B4C97" w14:textId="77777777" w:rsidTr="00F048B7">
        <w:tc>
          <w:tcPr>
            <w:tcW w:w="2263" w:type="dxa"/>
            <w:vMerge/>
          </w:tcPr>
          <w:p w14:paraId="7D3DA8CB" w14:textId="77777777" w:rsidR="00F048B7" w:rsidRDefault="00F048B7" w:rsidP="00F048B7">
            <w:pPr>
              <w:tabs>
                <w:tab w:val="left" w:pos="5400"/>
              </w:tabs>
              <w:spacing w:line="240" w:lineRule="auto"/>
            </w:pPr>
          </w:p>
        </w:tc>
        <w:tc>
          <w:tcPr>
            <w:tcW w:w="2831" w:type="dxa"/>
          </w:tcPr>
          <w:p w14:paraId="41817825" w14:textId="009D0B80" w:rsidR="00F048B7" w:rsidRDefault="00F048B7" w:rsidP="00F048B7">
            <w:pPr>
              <w:tabs>
                <w:tab w:val="left" w:pos="5400"/>
              </w:tabs>
              <w:spacing w:line="240" w:lineRule="auto"/>
            </w:pPr>
            <w:r>
              <w:t>Serious Assault</w:t>
            </w:r>
          </w:p>
        </w:tc>
        <w:tc>
          <w:tcPr>
            <w:tcW w:w="992" w:type="dxa"/>
            <w:vAlign w:val="bottom"/>
          </w:tcPr>
          <w:p w14:paraId="1EEAFBC9" w14:textId="1ABF010D" w:rsidR="00F048B7" w:rsidRDefault="00F048B7" w:rsidP="00F048B7">
            <w:pPr>
              <w:tabs>
                <w:tab w:val="left" w:pos="5400"/>
              </w:tabs>
              <w:spacing w:line="240" w:lineRule="auto"/>
              <w:jc w:val="right"/>
              <w:rPr>
                <w:color w:val="000000"/>
                <w:sz w:val="22"/>
                <w:szCs w:val="22"/>
              </w:rPr>
            </w:pPr>
            <w:r>
              <w:rPr>
                <w:color w:val="000000"/>
              </w:rPr>
              <w:t xml:space="preserve"> 9</w:t>
            </w:r>
          </w:p>
        </w:tc>
        <w:tc>
          <w:tcPr>
            <w:tcW w:w="992" w:type="dxa"/>
            <w:vAlign w:val="bottom"/>
          </w:tcPr>
          <w:p w14:paraId="37CA076A" w14:textId="2C97FD5B" w:rsidR="00F048B7" w:rsidRDefault="00F048B7" w:rsidP="00F048B7">
            <w:pPr>
              <w:tabs>
                <w:tab w:val="left" w:pos="5400"/>
              </w:tabs>
              <w:spacing w:line="240" w:lineRule="auto"/>
              <w:jc w:val="right"/>
              <w:rPr>
                <w:color w:val="000000"/>
                <w:sz w:val="22"/>
                <w:szCs w:val="22"/>
              </w:rPr>
            </w:pPr>
            <w:r>
              <w:rPr>
                <w:color w:val="000000"/>
              </w:rPr>
              <w:t xml:space="preserve"> 7</w:t>
            </w:r>
          </w:p>
        </w:tc>
      </w:tr>
    </w:tbl>
    <w:p w14:paraId="4BE8747C" w14:textId="54F66903" w:rsidR="00BE1D8C" w:rsidRDefault="004F6E7A" w:rsidP="009C1EF6">
      <w:r>
        <w:t>*</w:t>
      </w:r>
      <w:r w:rsidR="00E242AD" w:rsidRPr="00E242AD">
        <w:t xml:space="preserve">Please note that not all </w:t>
      </w:r>
      <w:r w:rsidR="00366886" w:rsidRPr="00E242AD">
        <w:t>victims’</w:t>
      </w:r>
      <w:r w:rsidR="00E242AD" w:rsidRPr="00E242AD">
        <w:t xml:space="preserve"> details will be recorded for police assaults as a number </w:t>
      </w:r>
      <w:r w:rsidR="00E12194">
        <w:t xml:space="preserve">of </w:t>
      </w:r>
      <w:r w:rsidR="00E242AD" w:rsidRPr="00E242AD">
        <w:t xml:space="preserve">them will only have </w:t>
      </w:r>
      <w:r w:rsidR="00E242AD" w:rsidRPr="000A76B8">
        <w:t>Police Force (PF) as the</w:t>
      </w:r>
      <w:r w:rsidR="00E242AD" w:rsidRPr="00E242AD">
        <w:t xml:space="preserve"> Complainer</w:t>
      </w:r>
      <w:r w:rsidR="00E242AD">
        <w:t>.</w:t>
      </w:r>
    </w:p>
    <w:p w14:paraId="583C0B41" w14:textId="58254715" w:rsidR="00570BC5" w:rsidRDefault="00570BC5" w:rsidP="00570BC5">
      <w:r>
        <w:t xml:space="preserve">For </w:t>
      </w:r>
      <w:r w:rsidRPr="00570BC5">
        <w:t xml:space="preserve">the period </w:t>
      </w:r>
      <w:r w:rsidRPr="00570BC5">
        <w:rPr>
          <w:b/>
          <w:bCs/>
        </w:rPr>
        <w:t>prior to 2024</w:t>
      </w:r>
      <w:r w:rsidRPr="00570BC5">
        <w:t>, the relevant crime classifications were ‘Common Assault of an emergency worker’, which includes police officers, prison officers, firefighters, paramedics and other personnel involved in emergency services, as well as ‘Serious Assault’, which includes any victim (regardless of occupation).</w:t>
      </w:r>
    </w:p>
    <w:p w14:paraId="7E352361" w14:textId="0A0EC311" w:rsidR="000D719F" w:rsidRDefault="000D719F" w:rsidP="00570BC5">
      <w:r w:rsidRPr="000D719F">
        <w:t>Therefore, the only way to provide an accurate response to your request would be to manually review all the relevant assault-related crime reports from 202</w:t>
      </w:r>
      <w:r>
        <w:t>1</w:t>
      </w:r>
      <w:r w:rsidRPr="000D719F">
        <w:t xml:space="preserve"> onwards case-by</w:t>
      </w:r>
      <w:r>
        <w:t>-</w:t>
      </w:r>
      <w:r w:rsidRPr="000D719F">
        <w:t xml:space="preserve">case to ascertain </w:t>
      </w:r>
      <w:r>
        <w:t xml:space="preserve">whether a police officer was the victim of assault, and if so whether female or male specifically. </w:t>
      </w:r>
    </w:p>
    <w:p w14:paraId="13D2F341" w14:textId="55CBEAB5" w:rsidR="004F6E7A" w:rsidRDefault="000D719F" w:rsidP="00570BC5">
      <w:r w:rsidRPr="000D719F">
        <w:t xml:space="preserve">Given the volume of reports that would be required to be read through for that </w:t>
      </w:r>
      <w:r>
        <w:t xml:space="preserve">over </w:t>
      </w:r>
      <w:r w:rsidRPr="000D719F">
        <w:t>t</w:t>
      </w:r>
      <w:r>
        <w:t>hree</w:t>
      </w:r>
      <w:r w:rsidRPr="000D719F">
        <w:t xml:space="preserve">-year period, I estimate </w:t>
      </w:r>
      <w:r>
        <w:t>t</w:t>
      </w:r>
      <w:r w:rsidRPr="000D719F">
        <w:t>his exercise would far exceed the current FOI cost threshold of £600 to process and I am therefore refusing to provide the information sought in terms of section 12(1) of the Act - Excessive Cost of Compliance.</w:t>
      </w:r>
    </w:p>
    <w:p w14:paraId="3EB0D696" w14:textId="26E60B23" w:rsidR="00AD46AC" w:rsidRPr="000A76B8" w:rsidRDefault="000D719F" w:rsidP="00570BC5">
      <w:r w:rsidRPr="000A76B8">
        <w:t>To be of some assistance, I have included the below table</w:t>
      </w:r>
      <w:r w:rsidR="00AD46AC" w:rsidRPr="000A76B8">
        <w:t xml:space="preserve"> which details </w:t>
      </w:r>
      <w:r w:rsidR="002704A6" w:rsidRPr="000A76B8">
        <w:t xml:space="preserve">the number of </w:t>
      </w:r>
      <w:r w:rsidR="00AD46AC" w:rsidRPr="000A76B8">
        <w:t>recorded assault</w:t>
      </w:r>
      <w:r w:rsidR="002704A6" w:rsidRPr="000A76B8">
        <w:t>s</w:t>
      </w:r>
      <w:r w:rsidR="00AD46AC" w:rsidRPr="000A76B8">
        <w:t xml:space="preserve"> charge</w:t>
      </w:r>
      <w:r w:rsidR="002704A6" w:rsidRPr="000A76B8">
        <w:t xml:space="preserve">d under police assault legislation from </w:t>
      </w:r>
      <w:r w:rsidR="00AD46AC" w:rsidRPr="000A76B8">
        <w:t>1 January 2021 to 31 March 2024, inclusive:</w:t>
      </w:r>
    </w:p>
    <w:tbl>
      <w:tblPr>
        <w:tblStyle w:val="TableGrid"/>
        <w:tblW w:w="6516" w:type="dxa"/>
        <w:tblLook w:val="04A0" w:firstRow="1" w:lastRow="0" w:firstColumn="1" w:lastColumn="0" w:noHBand="0" w:noVBand="1"/>
        <w:tblCaption w:val="Example table"/>
        <w:tblDescription w:val="Example table"/>
      </w:tblPr>
      <w:tblGrid>
        <w:gridCol w:w="2547"/>
        <w:gridCol w:w="992"/>
        <w:gridCol w:w="992"/>
        <w:gridCol w:w="993"/>
        <w:gridCol w:w="992"/>
      </w:tblGrid>
      <w:tr w:rsidR="002704A6" w:rsidRPr="00557306" w14:paraId="5A64449E" w14:textId="77777777" w:rsidTr="00703FAB">
        <w:trPr>
          <w:tblHeader/>
        </w:trPr>
        <w:tc>
          <w:tcPr>
            <w:tcW w:w="2547" w:type="dxa"/>
            <w:shd w:val="clear" w:color="auto" w:fill="D9D9D9" w:themeFill="background1" w:themeFillShade="D9"/>
          </w:tcPr>
          <w:p w14:paraId="32F4BEB6" w14:textId="77777777" w:rsidR="002704A6" w:rsidRPr="00557306" w:rsidRDefault="002704A6" w:rsidP="00703FAB">
            <w:pPr>
              <w:spacing w:line="240" w:lineRule="auto"/>
              <w:jc w:val="center"/>
              <w:rPr>
                <w:b/>
              </w:rPr>
            </w:pPr>
            <w:r>
              <w:rPr>
                <w:b/>
              </w:rPr>
              <w:t>Crime Category</w:t>
            </w:r>
          </w:p>
        </w:tc>
        <w:tc>
          <w:tcPr>
            <w:tcW w:w="992" w:type="dxa"/>
            <w:shd w:val="clear" w:color="auto" w:fill="D9D9D9" w:themeFill="background1" w:themeFillShade="D9"/>
          </w:tcPr>
          <w:p w14:paraId="72452761" w14:textId="77777777" w:rsidR="002704A6" w:rsidRPr="00557306" w:rsidRDefault="002704A6" w:rsidP="00703FAB">
            <w:pPr>
              <w:spacing w:line="240" w:lineRule="auto"/>
              <w:jc w:val="center"/>
              <w:rPr>
                <w:b/>
              </w:rPr>
            </w:pPr>
            <w:r>
              <w:rPr>
                <w:b/>
              </w:rPr>
              <w:t>2021</w:t>
            </w:r>
          </w:p>
        </w:tc>
        <w:tc>
          <w:tcPr>
            <w:tcW w:w="992" w:type="dxa"/>
            <w:shd w:val="clear" w:color="auto" w:fill="D9D9D9" w:themeFill="background1" w:themeFillShade="D9"/>
          </w:tcPr>
          <w:p w14:paraId="62049738" w14:textId="77777777" w:rsidR="002704A6" w:rsidRPr="00557306" w:rsidRDefault="002704A6" w:rsidP="00703FAB">
            <w:pPr>
              <w:spacing w:line="240" w:lineRule="auto"/>
              <w:jc w:val="center"/>
              <w:rPr>
                <w:b/>
              </w:rPr>
            </w:pPr>
            <w:r>
              <w:rPr>
                <w:b/>
              </w:rPr>
              <w:t>2022</w:t>
            </w:r>
          </w:p>
        </w:tc>
        <w:tc>
          <w:tcPr>
            <w:tcW w:w="993" w:type="dxa"/>
            <w:shd w:val="clear" w:color="auto" w:fill="D9D9D9" w:themeFill="background1" w:themeFillShade="D9"/>
          </w:tcPr>
          <w:p w14:paraId="652A173C" w14:textId="77777777" w:rsidR="002704A6" w:rsidRPr="00557306" w:rsidRDefault="002704A6" w:rsidP="00703FAB">
            <w:pPr>
              <w:spacing w:line="240" w:lineRule="auto"/>
              <w:jc w:val="center"/>
              <w:rPr>
                <w:b/>
              </w:rPr>
            </w:pPr>
            <w:r>
              <w:rPr>
                <w:b/>
              </w:rPr>
              <w:t>2023</w:t>
            </w:r>
          </w:p>
        </w:tc>
        <w:tc>
          <w:tcPr>
            <w:tcW w:w="992" w:type="dxa"/>
            <w:shd w:val="clear" w:color="auto" w:fill="D9D9D9" w:themeFill="background1" w:themeFillShade="D9"/>
          </w:tcPr>
          <w:p w14:paraId="1ACA351C" w14:textId="77777777" w:rsidR="002704A6" w:rsidRPr="00557306" w:rsidRDefault="002704A6" w:rsidP="00703FAB">
            <w:pPr>
              <w:spacing w:line="240" w:lineRule="auto"/>
              <w:jc w:val="center"/>
              <w:rPr>
                <w:b/>
              </w:rPr>
            </w:pPr>
            <w:r>
              <w:rPr>
                <w:b/>
              </w:rPr>
              <w:t>2024</w:t>
            </w:r>
          </w:p>
        </w:tc>
      </w:tr>
      <w:tr w:rsidR="002704A6" w14:paraId="0BABEC3E" w14:textId="77777777" w:rsidTr="00703FAB">
        <w:trPr>
          <w:trHeight w:val="70"/>
        </w:trPr>
        <w:tc>
          <w:tcPr>
            <w:tcW w:w="2547" w:type="dxa"/>
          </w:tcPr>
          <w:p w14:paraId="53A94C3F" w14:textId="77777777" w:rsidR="002704A6" w:rsidRDefault="002704A6" w:rsidP="00703FAB">
            <w:pPr>
              <w:tabs>
                <w:tab w:val="left" w:pos="5400"/>
              </w:tabs>
              <w:spacing w:line="240" w:lineRule="auto"/>
            </w:pPr>
            <w:r>
              <w:t>Common Assault</w:t>
            </w:r>
          </w:p>
        </w:tc>
        <w:tc>
          <w:tcPr>
            <w:tcW w:w="992" w:type="dxa"/>
            <w:vAlign w:val="center"/>
          </w:tcPr>
          <w:p w14:paraId="20DEE77A" w14:textId="77777777" w:rsidR="002704A6" w:rsidRPr="00D40CF4" w:rsidRDefault="002704A6" w:rsidP="00703FAB">
            <w:pPr>
              <w:tabs>
                <w:tab w:val="left" w:pos="5400"/>
              </w:tabs>
              <w:spacing w:line="240" w:lineRule="auto"/>
              <w:jc w:val="right"/>
            </w:pPr>
            <w:r w:rsidRPr="00D40CF4">
              <w:rPr>
                <w:color w:val="000000"/>
              </w:rPr>
              <w:t>7,170</w:t>
            </w:r>
          </w:p>
        </w:tc>
        <w:tc>
          <w:tcPr>
            <w:tcW w:w="992" w:type="dxa"/>
            <w:vAlign w:val="center"/>
          </w:tcPr>
          <w:p w14:paraId="2262FDF3" w14:textId="77777777" w:rsidR="002704A6" w:rsidRPr="00D40CF4" w:rsidRDefault="002704A6" w:rsidP="00703FAB">
            <w:pPr>
              <w:tabs>
                <w:tab w:val="left" w:pos="5400"/>
              </w:tabs>
              <w:spacing w:line="240" w:lineRule="auto"/>
              <w:jc w:val="right"/>
            </w:pPr>
            <w:r w:rsidRPr="00D40CF4">
              <w:rPr>
                <w:color w:val="000000"/>
              </w:rPr>
              <w:t>6,593</w:t>
            </w:r>
          </w:p>
        </w:tc>
        <w:tc>
          <w:tcPr>
            <w:tcW w:w="993" w:type="dxa"/>
            <w:vAlign w:val="center"/>
          </w:tcPr>
          <w:p w14:paraId="4AB529D2" w14:textId="77777777" w:rsidR="002704A6" w:rsidRPr="00D40CF4" w:rsidRDefault="002704A6" w:rsidP="00703FAB">
            <w:pPr>
              <w:tabs>
                <w:tab w:val="left" w:pos="5400"/>
              </w:tabs>
              <w:spacing w:line="240" w:lineRule="auto"/>
              <w:jc w:val="right"/>
            </w:pPr>
            <w:r w:rsidRPr="00D40CF4">
              <w:rPr>
                <w:color w:val="000000"/>
              </w:rPr>
              <w:t>6,833</w:t>
            </w:r>
          </w:p>
        </w:tc>
        <w:tc>
          <w:tcPr>
            <w:tcW w:w="992" w:type="dxa"/>
            <w:vAlign w:val="center"/>
          </w:tcPr>
          <w:p w14:paraId="23122F43" w14:textId="77777777" w:rsidR="002704A6" w:rsidRPr="00D40CF4" w:rsidRDefault="002704A6" w:rsidP="00703FAB">
            <w:pPr>
              <w:tabs>
                <w:tab w:val="left" w:pos="5400"/>
              </w:tabs>
              <w:spacing w:line="240" w:lineRule="auto"/>
              <w:jc w:val="right"/>
            </w:pPr>
            <w:r w:rsidRPr="00D40CF4">
              <w:rPr>
                <w:color w:val="000000"/>
              </w:rPr>
              <w:t>1,518</w:t>
            </w:r>
          </w:p>
        </w:tc>
      </w:tr>
      <w:tr w:rsidR="002704A6" w14:paraId="6986D50E" w14:textId="77777777" w:rsidTr="00703FAB">
        <w:tc>
          <w:tcPr>
            <w:tcW w:w="2547" w:type="dxa"/>
          </w:tcPr>
          <w:p w14:paraId="5D92C443" w14:textId="77777777" w:rsidR="002704A6" w:rsidRDefault="002704A6" w:rsidP="00703FAB">
            <w:pPr>
              <w:tabs>
                <w:tab w:val="left" w:pos="5400"/>
              </w:tabs>
              <w:spacing w:line="240" w:lineRule="auto"/>
            </w:pPr>
            <w:r>
              <w:t>Serious Assault</w:t>
            </w:r>
          </w:p>
        </w:tc>
        <w:tc>
          <w:tcPr>
            <w:tcW w:w="992" w:type="dxa"/>
            <w:vAlign w:val="bottom"/>
          </w:tcPr>
          <w:p w14:paraId="628031F4" w14:textId="77777777" w:rsidR="002704A6" w:rsidRPr="00D40CF4" w:rsidRDefault="002704A6" w:rsidP="00703FAB">
            <w:pPr>
              <w:tabs>
                <w:tab w:val="left" w:pos="5400"/>
              </w:tabs>
              <w:spacing w:line="240" w:lineRule="auto"/>
              <w:jc w:val="right"/>
            </w:pPr>
            <w:r w:rsidRPr="00D40CF4">
              <w:rPr>
                <w:color w:val="000000"/>
              </w:rPr>
              <w:t xml:space="preserve"> 28</w:t>
            </w:r>
          </w:p>
        </w:tc>
        <w:tc>
          <w:tcPr>
            <w:tcW w:w="992" w:type="dxa"/>
            <w:vAlign w:val="bottom"/>
          </w:tcPr>
          <w:p w14:paraId="6B0941E4" w14:textId="77777777" w:rsidR="002704A6" w:rsidRPr="00D40CF4" w:rsidRDefault="002704A6" w:rsidP="00703FAB">
            <w:pPr>
              <w:tabs>
                <w:tab w:val="left" w:pos="5400"/>
              </w:tabs>
              <w:spacing w:line="240" w:lineRule="auto"/>
              <w:jc w:val="right"/>
            </w:pPr>
            <w:r w:rsidRPr="00D40CF4">
              <w:rPr>
                <w:color w:val="000000"/>
              </w:rPr>
              <w:t xml:space="preserve"> 28</w:t>
            </w:r>
          </w:p>
        </w:tc>
        <w:tc>
          <w:tcPr>
            <w:tcW w:w="993" w:type="dxa"/>
            <w:vAlign w:val="bottom"/>
          </w:tcPr>
          <w:p w14:paraId="5D31C961" w14:textId="77777777" w:rsidR="002704A6" w:rsidRPr="00D40CF4" w:rsidRDefault="002704A6" w:rsidP="00703FAB">
            <w:pPr>
              <w:tabs>
                <w:tab w:val="left" w:pos="5400"/>
              </w:tabs>
              <w:spacing w:line="240" w:lineRule="auto"/>
              <w:jc w:val="right"/>
            </w:pPr>
            <w:r w:rsidRPr="00D40CF4">
              <w:rPr>
                <w:color w:val="000000"/>
              </w:rPr>
              <w:t xml:space="preserve"> 15</w:t>
            </w:r>
          </w:p>
        </w:tc>
        <w:tc>
          <w:tcPr>
            <w:tcW w:w="992" w:type="dxa"/>
            <w:vAlign w:val="bottom"/>
          </w:tcPr>
          <w:p w14:paraId="5A076A53" w14:textId="77777777" w:rsidR="002704A6" w:rsidRPr="00D40CF4" w:rsidRDefault="002704A6" w:rsidP="00703FAB">
            <w:pPr>
              <w:tabs>
                <w:tab w:val="left" w:pos="5400"/>
              </w:tabs>
              <w:spacing w:line="240" w:lineRule="auto"/>
              <w:jc w:val="right"/>
            </w:pPr>
            <w:r w:rsidRPr="00D40CF4">
              <w:rPr>
                <w:color w:val="000000"/>
              </w:rPr>
              <w:t xml:space="preserve"> 8</w:t>
            </w:r>
          </w:p>
        </w:tc>
      </w:tr>
    </w:tbl>
    <w:p w14:paraId="78F3759F" w14:textId="3C4C4D6D" w:rsidR="000A76B8" w:rsidRPr="000A76B8" w:rsidRDefault="002704A6" w:rsidP="0099306C">
      <w:r w:rsidRPr="000A76B8">
        <w:t>Police</w:t>
      </w:r>
      <w:r w:rsidR="0099306C" w:rsidRPr="000A76B8">
        <w:t xml:space="preserve"> assaults were identified by returning all data for ‘Common Assault of an emergency worker’ and ‘Serious Assault’</w:t>
      </w:r>
      <w:r w:rsidR="000A76B8" w:rsidRPr="000A76B8">
        <w:t xml:space="preserve"> </w:t>
      </w:r>
      <w:r w:rsidR="0099306C" w:rsidRPr="000A76B8">
        <w:t xml:space="preserve">and reducing with the following </w:t>
      </w:r>
      <w:r w:rsidR="000A76B8" w:rsidRPr="000A76B8">
        <w:t>p</w:t>
      </w:r>
      <w:r w:rsidR="0099306C" w:rsidRPr="000A76B8">
        <w:t>olice assault legislation</w:t>
      </w:r>
      <w:r w:rsidR="000A76B8" w:rsidRPr="000A76B8">
        <w:t>:</w:t>
      </w:r>
    </w:p>
    <w:p w14:paraId="1858813A" w14:textId="77777777" w:rsidR="0099306C" w:rsidRPr="000A76B8" w:rsidRDefault="0099306C" w:rsidP="0099306C">
      <w:r w:rsidRPr="000A76B8">
        <w:t>ASSAULT OFFICER EXEC OF DUTY</w:t>
      </w:r>
    </w:p>
    <w:p w14:paraId="1662504F" w14:textId="77777777" w:rsidR="0099306C" w:rsidRPr="000A76B8" w:rsidRDefault="0099306C" w:rsidP="0099306C">
      <w:r w:rsidRPr="000A76B8">
        <w:t>ASSAULT, OFFICER IN EXECUTION OF THEIR DUTY</w:t>
      </w:r>
    </w:p>
    <w:p w14:paraId="54AFB00E" w14:textId="77777777" w:rsidR="0099306C" w:rsidRPr="000A76B8" w:rsidRDefault="0099306C" w:rsidP="0099306C">
      <w:r w:rsidRPr="000A76B8">
        <w:lastRenderedPageBreak/>
        <w:t>COMMON ASSAULT (POLICE (S) ACT 1967 S 41(1)(A) PTY ASSAULT)</w:t>
      </w:r>
    </w:p>
    <w:p w14:paraId="7301DC41" w14:textId="77777777" w:rsidR="0099306C" w:rsidRPr="000A76B8" w:rsidRDefault="0099306C" w:rsidP="0099306C">
      <w:pPr>
        <w:jc w:val="both"/>
      </w:pPr>
      <w:r w:rsidRPr="000A76B8">
        <w:t>POLICE (S) ACT 1967 - POLICE OFFICER (FROM JULY 2009) S. 41(1)(A) (COM ASSLT)</w:t>
      </w:r>
    </w:p>
    <w:p w14:paraId="296B9B48" w14:textId="77777777" w:rsidR="0099306C" w:rsidRPr="000A76B8" w:rsidRDefault="0099306C" w:rsidP="0099306C">
      <w:r w:rsidRPr="000A76B8">
        <w:t>POLICE (SCOTLAND) ACT 1967: S41(1)(A)</w:t>
      </w:r>
    </w:p>
    <w:p w14:paraId="2030E1C4" w14:textId="77777777" w:rsidR="0099306C" w:rsidRPr="000A76B8" w:rsidRDefault="0099306C" w:rsidP="0099306C">
      <w:r w:rsidRPr="000A76B8">
        <w:t>POLICE &amp; FIRE REF (S) 2012 - ASSAULT OFFICER COMMON S. 90(1)(A)</w:t>
      </w:r>
    </w:p>
    <w:p w14:paraId="0E51D00F" w14:textId="77777777" w:rsidR="0099306C" w:rsidRPr="000A76B8" w:rsidRDefault="0099306C" w:rsidP="0099306C">
      <w:r w:rsidRPr="000A76B8">
        <w:t>POLICE &amp; FIRE REF (S) 2012 - ASSAULT OFFICER SERIOUS S. 90(1)(A)</w:t>
      </w:r>
    </w:p>
    <w:p w14:paraId="73A7773C" w14:textId="77777777" w:rsidR="0099306C" w:rsidRPr="000A76B8" w:rsidRDefault="0099306C" w:rsidP="0099306C">
      <w:r w:rsidRPr="000A76B8">
        <w:t>POLICE &amp; FIRE REF 2012 S90(1)(A) ASSAULT OFFICER EXEC OF DUTY</w:t>
      </w:r>
    </w:p>
    <w:p w14:paraId="7A9623F1" w14:textId="77777777" w:rsidR="0099306C" w:rsidRPr="000A76B8" w:rsidRDefault="0099306C" w:rsidP="0099306C">
      <w:r w:rsidRPr="000A76B8">
        <w:t>POLICE ACT 1996 - ASSAULT BTP S. 89(1)</w:t>
      </w:r>
    </w:p>
    <w:p w14:paraId="6CEDCB29" w14:textId="77777777" w:rsidR="0099306C" w:rsidRPr="000A76B8" w:rsidRDefault="0099306C" w:rsidP="0099306C">
      <w:r w:rsidRPr="000A76B8">
        <w:t>POLICE AND FIRE REFORM (SCOTLAND) ACT 2012: S90(1)(A)</w:t>
      </w:r>
    </w:p>
    <w:p w14:paraId="7997D269" w14:textId="77777777" w:rsidR="0099306C" w:rsidRPr="000A76B8" w:rsidRDefault="0099306C" w:rsidP="0099306C">
      <w:r w:rsidRPr="000A76B8">
        <w:t>POLICE AND FIRE REFORM (SCOTLAND) ACT 2012: S90(1)(A)&amp;(2)(A)</w:t>
      </w:r>
    </w:p>
    <w:p w14:paraId="50700359" w14:textId="77777777" w:rsidR="0099306C" w:rsidRPr="000A76B8" w:rsidRDefault="0099306C" w:rsidP="0099306C">
      <w:r w:rsidRPr="000A76B8">
        <w:t>SERIOUS ASSAULT (POLICE (S) ACT 1967 41(1)(A)</w:t>
      </w:r>
    </w:p>
    <w:p w14:paraId="3AA8CDD3" w14:textId="77777777" w:rsidR="002704A6" w:rsidRPr="005041CC" w:rsidRDefault="002704A6" w:rsidP="002704A6">
      <w:r w:rsidRPr="005041CC">
        <w:t xml:space="preserve">In this case, although legislation was used to narrow the scope, data </w:t>
      </w:r>
      <w:r w:rsidRPr="005041CC">
        <w:rPr>
          <w:i/>
          <w:iCs/>
        </w:rPr>
        <w:t>still</w:t>
      </w:r>
      <w:r w:rsidRPr="005041CC">
        <w:t xml:space="preserve"> includes British Transport police officers as well as members of Police Scotland staff (e.g. custody staff).</w:t>
      </w:r>
    </w:p>
    <w:p w14:paraId="5D5D369F" w14:textId="6E17D5CB" w:rsidR="002B25E1" w:rsidRDefault="002704A6" w:rsidP="00570BC5">
      <w:r w:rsidRPr="005041CC">
        <w:t>So even if we were to consider the requests in terms of the data provided above</w:t>
      </w:r>
      <w:r w:rsidR="002B25E1" w:rsidRPr="005041CC">
        <w:t xml:space="preserve"> it would unfortunately still be exempt under section 12(1) as all 22,193 police assault charge reports would have to be </w:t>
      </w:r>
      <w:r w:rsidR="008824DF" w:rsidRPr="005041CC">
        <w:t xml:space="preserve">assessed </w:t>
      </w:r>
      <w:r w:rsidR="002B25E1" w:rsidRPr="005041CC">
        <w:t>one-by-one to establish the number relevant to Police Scotland police officers (as well as to determine the victim’s gender).</w:t>
      </w:r>
      <w:r w:rsidR="002B25E1">
        <w:t xml:space="preserve"> </w:t>
      </w:r>
    </w:p>
    <w:p w14:paraId="5674D662" w14:textId="77777777" w:rsidR="00450DD7" w:rsidRPr="009C1EF6" w:rsidRDefault="00450DD7" w:rsidP="009C1EF6"/>
    <w:p w14:paraId="6BB95841" w14:textId="77777777" w:rsidR="009C1EF6" w:rsidRPr="009C1EF6" w:rsidRDefault="009C1EF6" w:rsidP="009C1EF6">
      <w:pPr>
        <w:pStyle w:val="Heading2"/>
      </w:pPr>
      <w:r w:rsidRPr="009C1EF6">
        <w:t>2. How many new officers were employed by this force in 2021, 2022, 2023, 2024 and up to July 2025? </w:t>
      </w:r>
    </w:p>
    <w:p w14:paraId="407B9B5E" w14:textId="77777777" w:rsidR="009C1EF6" w:rsidRPr="009C1EF6" w:rsidRDefault="009C1EF6" w:rsidP="009C1EF6">
      <w:pPr>
        <w:pStyle w:val="Heading2"/>
      </w:pPr>
      <w:r w:rsidRPr="009C1EF6">
        <w:t>Please break the stats down per year and gender. </w:t>
      </w:r>
    </w:p>
    <w:p w14:paraId="34BDABAB" w14:textId="5565CAAB" w:rsidR="00255F1E" w:rsidRDefault="009C1EF6" w:rsidP="009D2AA5">
      <w:pPr>
        <w:tabs>
          <w:tab w:val="left" w:pos="5400"/>
        </w:tabs>
      </w:pPr>
      <w:r>
        <w:t xml:space="preserve">The table below details the </w:t>
      </w:r>
      <w:r w:rsidR="00ED54F0">
        <w:t>number</w:t>
      </w:r>
      <w:r>
        <w:t xml:space="preserve"> of new officers </w:t>
      </w:r>
      <w:r w:rsidR="00ED54F0">
        <w:t>for all ranks employed</w:t>
      </w:r>
      <w:r>
        <w:t xml:space="preserve"> by </w:t>
      </w:r>
      <w:r w:rsidR="00ED54F0">
        <w:t xml:space="preserve">Police Scotland broken down by gender </w:t>
      </w:r>
      <w:r w:rsidR="004A38FF">
        <w:t xml:space="preserve">over the past four years to </w:t>
      </w:r>
      <w:r w:rsidR="00ED54F0">
        <w:t>July 2025, inclusive:</w:t>
      </w:r>
    </w:p>
    <w:tbl>
      <w:tblPr>
        <w:tblStyle w:val="TableGrid"/>
        <w:tblW w:w="4957" w:type="dxa"/>
        <w:tblLook w:val="04A0" w:firstRow="1" w:lastRow="0" w:firstColumn="1" w:lastColumn="0" w:noHBand="0" w:noVBand="1"/>
        <w:tblCaption w:val="Example table"/>
        <w:tblDescription w:val="Example table"/>
      </w:tblPr>
      <w:tblGrid>
        <w:gridCol w:w="2547"/>
        <w:gridCol w:w="1250"/>
        <w:gridCol w:w="1160"/>
      </w:tblGrid>
      <w:tr w:rsidR="009C1EF6" w:rsidRPr="00557306" w14:paraId="20C05BE4" w14:textId="77777777" w:rsidTr="009C1EF6">
        <w:trPr>
          <w:tblHeader/>
        </w:trPr>
        <w:tc>
          <w:tcPr>
            <w:tcW w:w="2547" w:type="dxa"/>
            <w:shd w:val="clear" w:color="auto" w:fill="D9D9D9" w:themeFill="background1" w:themeFillShade="D9"/>
          </w:tcPr>
          <w:p w14:paraId="63BB06FF" w14:textId="77777777" w:rsidR="009C1EF6" w:rsidRDefault="009C1EF6" w:rsidP="009D2AA5">
            <w:pPr>
              <w:spacing w:line="240" w:lineRule="auto"/>
              <w:rPr>
                <w:b/>
              </w:rPr>
            </w:pPr>
          </w:p>
        </w:tc>
        <w:tc>
          <w:tcPr>
            <w:tcW w:w="2410" w:type="dxa"/>
            <w:gridSpan w:val="2"/>
            <w:shd w:val="clear" w:color="auto" w:fill="D9D9D9" w:themeFill="background1" w:themeFillShade="D9"/>
          </w:tcPr>
          <w:p w14:paraId="713407BC" w14:textId="5865C4E7" w:rsidR="009C1EF6" w:rsidRPr="00557306" w:rsidRDefault="009C1EF6" w:rsidP="009C1EF6">
            <w:pPr>
              <w:spacing w:line="240" w:lineRule="auto"/>
              <w:jc w:val="center"/>
              <w:rPr>
                <w:b/>
              </w:rPr>
            </w:pPr>
            <w:r>
              <w:rPr>
                <w:b/>
              </w:rPr>
              <w:t>Recruit Headcount</w:t>
            </w:r>
          </w:p>
        </w:tc>
      </w:tr>
      <w:tr w:rsidR="009C1EF6" w:rsidRPr="00557306" w14:paraId="34BDABB1" w14:textId="77777777" w:rsidTr="009C1EF6">
        <w:trPr>
          <w:tblHeader/>
        </w:trPr>
        <w:tc>
          <w:tcPr>
            <w:tcW w:w="2547" w:type="dxa"/>
            <w:shd w:val="clear" w:color="auto" w:fill="D9D9D9" w:themeFill="background1" w:themeFillShade="D9"/>
          </w:tcPr>
          <w:p w14:paraId="34BDABAC" w14:textId="0C510A63" w:rsidR="009C1EF6" w:rsidRPr="00557306" w:rsidRDefault="009C1EF6" w:rsidP="009C1EF6">
            <w:pPr>
              <w:spacing w:line="240" w:lineRule="auto"/>
              <w:jc w:val="center"/>
              <w:rPr>
                <w:b/>
              </w:rPr>
            </w:pPr>
            <w:r>
              <w:rPr>
                <w:b/>
              </w:rPr>
              <w:t>Year</w:t>
            </w:r>
          </w:p>
        </w:tc>
        <w:tc>
          <w:tcPr>
            <w:tcW w:w="1250" w:type="dxa"/>
            <w:shd w:val="clear" w:color="auto" w:fill="D9D9D9" w:themeFill="background1" w:themeFillShade="D9"/>
          </w:tcPr>
          <w:p w14:paraId="34BDABAD" w14:textId="5EAE07CD" w:rsidR="009C1EF6" w:rsidRPr="00557306" w:rsidRDefault="009C1EF6" w:rsidP="009C1EF6">
            <w:pPr>
              <w:spacing w:line="240" w:lineRule="auto"/>
              <w:jc w:val="center"/>
              <w:rPr>
                <w:b/>
              </w:rPr>
            </w:pPr>
            <w:r>
              <w:rPr>
                <w:b/>
              </w:rPr>
              <w:t>Female</w:t>
            </w:r>
          </w:p>
        </w:tc>
        <w:tc>
          <w:tcPr>
            <w:tcW w:w="1160" w:type="dxa"/>
            <w:shd w:val="clear" w:color="auto" w:fill="D9D9D9" w:themeFill="background1" w:themeFillShade="D9"/>
          </w:tcPr>
          <w:p w14:paraId="34BDABAE" w14:textId="0BE9B506" w:rsidR="009C1EF6" w:rsidRPr="00557306" w:rsidRDefault="009C1EF6" w:rsidP="009C1EF6">
            <w:pPr>
              <w:spacing w:line="240" w:lineRule="auto"/>
              <w:jc w:val="center"/>
              <w:rPr>
                <w:b/>
              </w:rPr>
            </w:pPr>
            <w:r>
              <w:rPr>
                <w:b/>
              </w:rPr>
              <w:t>Male</w:t>
            </w:r>
          </w:p>
        </w:tc>
      </w:tr>
      <w:tr w:rsidR="009C1EF6" w14:paraId="34BDABB7" w14:textId="77777777" w:rsidTr="004B604A">
        <w:tc>
          <w:tcPr>
            <w:tcW w:w="2547" w:type="dxa"/>
          </w:tcPr>
          <w:p w14:paraId="34BDABB2" w14:textId="6F2FBB41" w:rsidR="009C1EF6" w:rsidRDefault="009C1EF6" w:rsidP="009C1EF6">
            <w:pPr>
              <w:tabs>
                <w:tab w:val="left" w:pos="5400"/>
              </w:tabs>
              <w:spacing w:line="240" w:lineRule="auto"/>
            </w:pPr>
            <w:r>
              <w:t>2021</w:t>
            </w:r>
          </w:p>
        </w:tc>
        <w:tc>
          <w:tcPr>
            <w:tcW w:w="1250" w:type="dxa"/>
            <w:vAlign w:val="bottom"/>
          </w:tcPr>
          <w:p w14:paraId="34BDABB3" w14:textId="4FC15384" w:rsidR="009C1EF6" w:rsidRPr="009C1EF6" w:rsidRDefault="009C1EF6" w:rsidP="009C1EF6">
            <w:pPr>
              <w:tabs>
                <w:tab w:val="left" w:pos="5400"/>
              </w:tabs>
              <w:spacing w:line="240" w:lineRule="auto"/>
              <w:jc w:val="right"/>
            </w:pPr>
            <w:r w:rsidRPr="009C1EF6">
              <w:rPr>
                <w:color w:val="000000"/>
                <w:lang w:eastAsia="en-GB"/>
              </w:rPr>
              <w:t>287</w:t>
            </w:r>
          </w:p>
        </w:tc>
        <w:tc>
          <w:tcPr>
            <w:tcW w:w="1160" w:type="dxa"/>
            <w:vAlign w:val="bottom"/>
          </w:tcPr>
          <w:p w14:paraId="34BDABB4" w14:textId="46ADD2AF" w:rsidR="009C1EF6" w:rsidRPr="009C1EF6" w:rsidRDefault="009C1EF6" w:rsidP="009C1EF6">
            <w:pPr>
              <w:tabs>
                <w:tab w:val="left" w:pos="5400"/>
              </w:tabs>
              <w:spacing w:line="240" w:lineRule="auto"/>
              <w:jc w:val="right"/>
            </w:pPr>
            <w:r w:rsidRPr="009C1EF6">
              <w:rPr>
                <w:color w:val="000000"/>
                <w:lang w:eastAsia="en-GB"/>
              </w:rPr>
              <w:t>337</w:t>
            </w:r>
          </w:p>
        </w:tc>
      </w:tr>
      <w:tr w:rsidR="009C1EF6" w14:paraId="1921AC98" w14:textId="77777777" w:rsidTr="004B604A">
        <w:tc>
          <w:tcPr>
            <w:tcW w:w="2547" w:type="dxa"/>
          </w:tcPr>
          <w:p w14:paraId="11EFB84F" w14:textId="7CE79336" w:rsidR="009C1EF6" w:rsidRDefault="009C1EF6" w:rsidP="009C1EF6">
            <w:pPr>
              <w:tabs>
                <w:tab w:val="left" w:pos="5400"/>
              </w:tabs>
              <w:spacing w:line="240" w:lineRule="auto"/>
            </w:pPr>
            <w:r>
              <w:t>2022</w:t>
            </w:r>
          </w:p>
        </w:tc>
        <w:tc>
          <w:tcPr>
            <w:tcW w:w="1250" w:type="dxa"/>
            <w:vAlign w:val="bottom"/>
          </w:tcPr>
          <w:p w14:paraId="347E7728" w14:textId="1578545A" w:rsidR="009C1EF6" w:rsidRPr="009C1EF6" w:rsidRDefault="009C1EF6" w:rsidP="009C1EF6">
            <w:pPr>
              <w:tabs>
                <w:tab w:val="left" w:pos="5400"/>
              </w:tabs>
              <w:spacing w:line="240" w:lineRule="auto"/>
              <w:jc w:val="right"/>
            </w:pPr>
            <w:r w:rsidRPr="009C1EF6">
              <w:rPr>
                <w:color w:val="000000"/>
                <w:lang w:eastAsia="en-GB"/>
              </w:rPr>
              <w:t>355</w:t>
            </w:r>
          </w:p>
        </w:tc>
        <w:tc>
          <w:tcPr>
            <w:tcW w:w="1160" w:type="dxa"/>
            <w:vAlign w:val="bottom"/>
          </w:tcPr>
          <w:p w14:paraId="72AE05CE" w14:textId="4448ACD4" w:rsidR="009C1EF6" w:rsidRPr="009C1EF6" w:rsidRDefault="009C1EF6" w:rsidP="009C1EF6">
            <w:pPr>
              <w:tabs>
                <w:tab w:val="left" w:pos="5400"/>
              </w:tabs>
              <w:spacing w:line="240" w:lineRule="auto"/>
              <w:jc w:val="right"/>
            </w:pPr>
            <w:r w:rsidRPr="009C1EF6">
              <w:rPr>
                <w:color w:val="000000"/>
                <w:lang w:eastAsia="en-GB"/>
              </w:rPr>
              <w:t>562</w:t>
            </w:r>
          </w:p>
        </w:tc>
      </w:tr>
      <w:tr w:rsidR="009C1EF6" w14:paraId="3609BD40" w14:textId="77777777" w:rsidTr="004B604A">
        <w:tc>
          <w:tcPr>
            <w:tcW w:w="2547" w:type="dxa"/>
          </w:tcPr>
          <w:p w14:paraId="4552EFB4" w14:textId="68599D7B" w:rsidR="009C1EF6" w:rsidRDefault="009C1EF6" w:rsidP="009C1EF6">
            <w:pPr>
              <w:tabs>
                <w:tab w:val="left" w:pos="5400"/>
              </w:tabs>
              <w:spacing w:line="240" w:lineRule="auto"/>
            </w:pPr>
            <w:r>
              <w:t>2023</w:t>
            </w:r>
          </w:p>
        </w:tc>
        <w:tc>
          <w:tcPr>
            <w:tcW w:w="1250" w:type="dxa"/>
            <w:vAlign w:val="bottom"/>
          </w:tcPr>
          <w:p w14:paraId="19C2B1D9" w14:textId="331B1A55" w:rsidR="009C1EF6" w:rsidRPr="009C1EF6" w:rsidRDefault="009C1EF6" w:rsidP="009C1EF6">
            <w:pPr>
              <w:tabs>
                <w:tab w:val="left" w:pos="5400"/>
              </w:tabs>
              <w:spacing w:line="240" w:lineRule="auto"/>
              <w:jc w:val="right"/>
            </w:pPr>
            <w:r w:rsidRPr="009C1EF6">
              <w:rPr>
                <w:color w:val="000000"/>
                <w:lang w:eastAsia="en-GB"/>
              </w:rPr>
              <w:t>181</w:t>
            </w:r>
          </w:p>
        </w:tc>
        <w:tc>
          <w:tcPr>
            <w:tcW w:w="1160" w:type="dxa"/>
            <w:vAlign w:val="bottom"/>
          </w:tcPr>
          <w:p w14:paraId="5D2D830F" w14:textId="31CDF623" w:rsidR="009C1EF6" w:rsidRPr="009C1EF6" w:rsidRDefault="009C1EF6" w:rsidP="009C1EF6">
            <w:pPr>
              <w:tabs>
                <w:tab w:val="left" w:pos="5400"/>
              </w:tabs>
              <w:spacing w:line="240" w:lineRule="auto"/>
              <w:jc w:val="right"/>
            </w:pPr>
            <w:r w:rsidRPr="009C1EF6">
              <w:rPr>
                <w:color w:val="000000"/>
                <w:lang w:eastAsia="en-GB"/>
              </w:rPr>
              <w:t>428</w:t>
            </w:r>
          </w:p>
        </w:tc>
      </w:tr>
      <w:tr w:rsidR="009C1EF6" w14:paraId="3D1C8BF3" w14:textId="77777777" w:rsidTr="004B604A">
        <w:tc>
          <w:tcPr>
            <w:tcW w:w="2547" w:type="dxa"/>
          </w:tcPr>
          <w:p w14:paraId="2EAE222F" w14:textId="02904EA2" w:rsidR="009C1EF6" w:rsidRDefault="009C1EF6" w:rsidP="009C1EF6">
            <w:pPr>
              <w:tabs>
                <w:tab w:val="left" w:pos="5400"/>
              </w:tabs>
              <w:spacing w:line="240" w:lineRule="auto"/>
            </w:pPr>
            <w:r>
              <w:t>2024</w:t>
            </w:r>
          </w:p>
        </w:tc>
        <w:tc>
          <w:tcPr>
            <w:tcW w:w="1250" w:type="dxa"/>
            <w:vAlign w:val="bottom"/>
          </w:tcPr>
          <w:p w14:paraId="6962280F" w14:textId="45686C97" w:rsidR="009C1EF6" w:rsidRPr="009C1EF6" w:rsidRDefault="009C1EF6" w:rsidP="009C1EF6">
            <w:pPr>
              <w:tabs>
                <w:tab w:val="left" w:pos="5400"/>
              </w:tabs>
              <w:spacing w:line="240" w:lineRule="auto"/>
              <w:jc w:val="right"/>
            </w:pPr>
            <w:r w:rsidRPr="009C1EF6">
              <w:rPr>
                <w:color w:val="000000"/>
                <w:lang w:eastAsia="en-GB"/>
              </w:rPr>
              <w:t>303</w:t>
            </w:r>
          </w:p>
        </w:tc>
        <w:tc>
          <w:tcPr>
            <w:tcW w:w="1160" w:type="dxa"/>
            <w:vAlign w:val="bottom"/>
          </w:tcPr>
          <w:p w14:paraId="75A7B01F" w14:textId="521AA875" w:rsidR="009C1EF6" w:rsidRPr="009C1EF6" w:rsidRDefault="009C1EF6" w:rsidP="009C1EF6">
            <w:pPr>
              <w:tabs>
                <w:tab w:val="left" w:pos="5400"/>
              </w:tabs>
              <w:spacing w:line="240" w:lineRule="auto"/>
              <w:jc w:val="right"/>
            </w:pPr>
            <w:r w:rsidRPr="009C1EF6">
              <w:rPr>
                <w:color w:val="000000"/>
                <w:lang w:eastAsia="en-GB"/>
              </w:rPr>
              <w:t>663</w:t>
            </w:r>
          </w:p>
        </w:tc>
      </w:tr>
      <w:tr w:rsidR="009C1EF6" w14:paraId="3D215FEF" w14:textId="77777777" w:rsidTr="004B604A">
        <w:tc>
          <w:tcPr>
            <w:tcW w:w="2547" w:type="dxa"/>
          </w:tcPr>
          <w:p w14:paraId="4D625DFD" w14:textId="14EB6E4E" w:rsidR="009C1EF6" w:rsidRDefault="009C1EF6" w:rsidP="009C1EF6">
            <w:pPr>
              <w:tabs>
                <w:tab w:val="left" w:pos="5400"/>
              </w:tabs>
              <w:spacing w:line="240" w:lineRule="auto"/>
            </w:pPr>
            <w:r>
              <w:lastRenderedPageBreak/>
              <w:t>1 Jan – 30 June 2025</w:t>
            </w:r>
          </w:p>
        </w:tc>
        <w:tc>
          <w:tcPr>
            <w:tcW w:w="1250" w:type="dxa"/>
            <w:vAlign w:val="bottom"/>
          </w:tcPr>
          <w:p w14:paraId="51BC870E" w14:textId="63BD74E8" w:rsidR="009C1EF6" w:rsidRPr="009C1EF6" w:rsidRDefault="009C1EF6" w:rsidP="009C1EF6">
            <w:pPr>
              <w:tabs>
                <w:tab w:val="left" w:pos="5400"/>
              </w:tabs>
              <w:spacing w:line="240" w:lineRule="auto"/>
              <w:jc w:val="right"/>
            </w:pPr>
            <w:r w:rsidRPr="009C1EF6">
              <w:rPr>
                <w:color w:val="000000"/>
                <w:lang w:eastAsia="en-GB"/>
              </w:rPr>
              <w:t>133</w:t>
            </w:r>
          </w:p>
        </w:tc>
        <w:tc>
          <w:tcPr>
            <w:tcW w:w="1160" w:type="dxa"/>
            <w:vAlign w:val="bottom"/>
          </w:tcPr>
          <w:p w14:paraId="4895FD40" w14:textId="763AD167" w:rsidR="009C1EF6" w:rsidRPr="009C1EF6" w:rsidRDefault="009C1EF6" w:rsidP="009C1EF6">
            <w:pPr>
              <w:tabs>
                <w:tab w:val="left" w:pos="5400"/>
              </w:tabs>
              <w:spacing w:line="240" w:lineRule="auto"/>
              <w:jc w:val="right"/>
            </w:pPr>
            <w:r w:rsidRPr="009C1EF6">
              <w:rPr>
                <w:color w:val="000000"/>
                <w:lang w:eastAsia="en-GB"/>
              </w:rPr>
              <w:t>192</w:t>
            </w:r>
          </w:p>
        </w:tc>
      </w:tr>
    </w:tbl>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6D94685A"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6B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4A97CB9"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6B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22FD33C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6B77">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F4F1ACE"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6B77">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09AE012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6B77">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36844A57"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046B77">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46B77"/>
    <w:rsid w:val="000612A7"/>
    <w:rsid w:val="00090F3B"/>
    <w:rsid w:val="000A76B8"/>
    <w:rsid w:val="000D719F"/>
    <w:rsid w:val="000E2F19"/>
    <w:rsid w:val="000E43FF"/>
    <w:rsid w:val="000E6526"/>
    <w:rsid w:val="00120F01"/>
    <w:rsid w:val="00141533"/>
    <w:rsid w:val="00167528"/>
    <w:rsid w:val="00184727"/>
    <w:rsid w:val="00195CC4"/>
    <w:rsid w:val="001C6CB2"/>
    <w:rsid w:val="001F2261"/>
    <w:rsid w:val="00207326"/>
    <w:rsid w:val="00253DF6"/>
    <w:rsid w:val="00255F1E"/>
    <w:rsid w:val="00260FBC"/>
    <w:rsid w:val="002704A6"/>
    <w:rsid w:val="002B25E1"/>
    <w:rsid w:val="00340E19"/>
    <w:rsid w:val="0036503B"/>
    <w:rsid w:val="00366886"/>
    <w:rsid w:val="00376A4A"/>
    <w:rsid w:val="00381234"/>
    <w:rsid w:val="003D6D03"/>
    <w:rsid w:val="003E12CA"/>
    <w:rsid w:val="004010DC"/>
    <w:rsid w:val="00426EB5"/>
    <w:rsid w:val="004341F0"/>
    <w:rsid w:val="00450DD7"/>
    <w:rsid w:val="00456324"/>
    <w:rsid w:val="00475460"/>
    <w:rsid w:val="00490317"/>
    <w:rsid w:val="00491385"/>
    <w:rsid w:val="00491644"/>
    <w:rsid w:val="00496A08"/>
    <w:rsid w:val="004A38FF"/>
    <w:rsid w:val="004B0AE9"/>
    <w:rsid w:val="004E1605"/>
    <w:rsid w:val="004F653C"/>
    <w:rsid w:val="004F6E7A"/>
    <w:rsid w:val="005041CC"/>
    <w:rsid w:val="00540A52"/>
    <w:rsid w:val="00557306"/>
    <w:rsid w:val="00570BC5"/>
    <w:rsid w:val="006029D9"/>
    <w:rsid w:val="0060390B"/>
    <w:rsid w:val="006359A9"/>
    <w:rsid w:val="00645CFA"/>
    <w:rsid w:val="00685219"/>
    <w:rsid w:val="006D5799"/>
    <w:rsid w:val="006F087A"/>
    <w:rsid w:val="00717663"/>
    <w:rsid w:val="00731209"/>
    <w:rsid w:val="007440EA"/>
    <w:rsid w:val="00750D83"/>
    <w:rsid w:val="0076645C"/>
    <w:rsid w:val="00785DBC"/>
    <w:rsid w:val="00793DD5"/>
    <w:rsid w:val="007D55F6"/>
    <w:rsid w:val="007F490F"/>
    <w:rsid w:val="0085314E"/>
    <w:rsid w:val="0086779C"/>
    <w:rsid w:val="00874BFD"/>
    <w:rsid w:val="008824DF"/>
    <w:rsid w:val="008964EF"/>
    <w:rsid w:val="008D24D7"/>
    <w:rsid w:val="00915E01"/>
    <w:rsid w:val="009213B3"/>
    <w:rsid w:val="0093207F"/>
    <w:rsid w:val="009631A4"/>
    <w:rsid w:val="00977296"/>
    <w:rsid w:val="0099306C"/>
    <w:rsid w:val="00993797"/>
    <w:rsid w:val="009B2208"/>
    <w:rsid w:val="009C07C4"/>
    <w:rsid w:val="009C1EF6"/>
    <w:rsid w:val="009D2AA5"/>
    <w:rsid w:val="00A25E93"/>
    <w:rsid w:val="00A320FF"/>
    <w:rsid w:val="00A618E7"/>
    <w:rsid w:val="00A70AC0"/>
    <w:rsid w:val="00A84EA9"/>
    <w:rsid w:val="00AC443C"/>
    <w:rsid w:val="00AD46AC"/>
    <w:rsid w:val="00B033D6"/>
    <w:rsid w:val="00B11A55"/>
    <w:rsid w:val="00B17211"/>
    <w:rsid w:val="00B461B2"/>
    <w:rsid w:val="00B654B6"/>
    <w:rsid w:val="00B71B3C"/>
    <w:rsid w:val="00BC389E"/>
    <w:rsid w:val="00BD03EF"/>
    <w:rsid w:val="00BD0588"/>
    <w:rsid w:val="00BE1888"/>
    <w:rsid w:val="00BE1D8C"/>
    <w:rsid w:val="00BF6B81"/>
    <w:rsid w:val="00C077A8"/>
    <w:rsid w:val="00C14FF4"/>
    <w:rsid w:val="00C1679F"/>
    <w:rsid w:val="00C606A2"/>
    <w:rsid w:val="00C63872"/>
    <w:rsid w:val="00C84948"/>
    <w:rsid w:val="00C94ED8"/>
    <w:rsid w:val="00CC308A"/>
    <w:rsid w:val="00CE09FA"/>
    <w:rsid w:val="00CF1111"/>
    <w:rsid w:val="00D05706"/>
    <w:rsid w:val="00D27DC5"/>
    <w:rsid w:val="00D3201B"/>
    <w:rsid w:val="00D40CF4"/>
    <w:rsid w:val="00D47E36"/>
    <w:rsid w:val="00E12194"/>
    <w:rsid w:val="00E242AD"/>
    <w:rsid w:val="00E55D79"/>
    <w:rsid w:val="00E96DD3"/>
    <w:rsid w:val="00ED54F0"/>
    <w:rsid w:val="00EE2373"/>
    <w:rsid w:val="00EF0FBB"/>
    <w:rsid w:val="00EF4761"/>
    <w:rsid w:val="00F048B7"/>
    <w:rsid w:val="00F72E38"/>
    <w:rsid w:val="00FB0C6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790076">
      <w:bodyDiv w:val="1"/>
      <w:marLeft w:val="0"/>
      <w:marRight w:val="0"/>
      <w:marTop w:val="0"/>
      <w:marBottom w:val="0"/>
      <w:divBdr>
        <w:top w:val="none" w:sz="0" w:space="0" w:color="auto"/>
        <w:left w:val="none" w:sz="0" w:space="0" w:color="auto"/>
        <w:bottom w:val="none" w:sz="0" w:space="0" w:color="auto"/>
        <w:right w:val="none" w:sz="0" w:space="0" w:color="auto"/>
      </w:divBdr>
    </w:div>
    <w:div w:id="1945382998">
      <w:bodyDiv w:val="1"/>
      <w:marLeft w:val="0"/>
      <w:marRight w:val="0"/>
      <w:marTop w:val="0"/>
      <w:marBottom w:val="0"/>
      <w:divBdr>
        <w:top w:val="none" w:sz="0" w:space="0" w:color="auto"/>
        <w:left w:val="none" w:sz="0" w:space="0" w:color="auto"/>
        <w:bottom w:val="none" w:sz="0" w:space="0" w:color="auto"/>
        <w:right w:val="none" w:sz="0" w:space="0" w:color="auto"/>
      </w:divBdr>
    </w:div>
    <w:div w:id="2002543888">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B123AC-42E2-4EC8-B0BD-ED6743DFF6D4}">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0e32d40b-a8f5-4c24-a46b-b72b5f0b9b52"/>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922</Words>
  <Characters>5258</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2025-11-11T18:17:00Z</cp:lastPrinted>
  <dcterms:created xsi:type="dcterms:W3CDTF">2025-11-11T18:15:00Z</dcterms:created>
  <dcterms:modified xsi:type="dcterms:W3CDTF">2025-11-11T18:19:00Z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