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11017793" w14:textId="76E607E5" w:rsidR="00120FF0" w:rsidRDefault="00B17211" w:rsidP="00120FF0">
            <w:r w:rsidRPr="007F490F">
              <w:rPr>
                <w:rStyle w:val="Heading2Char"/>
              </w:rPr>
              <w:t>Our reference:</w:t>
            </w:r>
            <w:r>
              <w:t xml:space="preserve">  FOI 2</w:t>
            </w:r>
            <w:r w:rsidR="00B654B6">
              <w:t>4</w:t>
            </w:r>
            <w:r>
              <w:t>-</w:t>
            </w:r>
            <w:r w:rsidR="00120FF0">
              <w:t>1264</w:t>
            </w:r>
          </w:p>
          <w:p w14:paraId="34BDABA6" w14:textId="238DD50D" w:rsidR="00B17211" w:rsidRDefault="00456324" w:rsidP="00120FF0">
            <w:r w:rsidRPr="007F490F">
              <w:rPr>
                <w:rStyle w:val="Heading2Char"/>
              </w:rPr>
              <w:t>Respon</w:t>
            </w:r>
            <w:r w:rsidR="007D55F6">
              <w:rPr>
                <w:rStyle w:val="Heading2Char"/>
              </w:rPr>
              <w:t>ded to:</w:t>
            </w:r>
            <w:r w:rsidR="007F490F">
              <w:t xml:space="preserve">  </w:t>
            </w:r>
            <w:r w:rsidR="00120FF0">
              <w:t>2</w:t>
            </w:r>
            <w:r w:rsidR="000650E2">
              <w:t>4</w:t>
            </w:r>
            <w:r w:rsidR="000650E2" w:rsidRPr="000650E2">
              <w:rPr>
                <w:vertAlign w:val="superscript"/>
              </w:rPr>
              <w:t>th</w:t>
            </w:r>
            <w:r w:rsidR="000650E2">
              <w:t xml:space="preserve"> </w:t>
            </w:r>
            <w:r w:rsidR="00120FF0">
              <w:t>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8AC4CBA" w14:textId="6B5022D9" w:rsidR="00120FF0" w:rsidRDefault="00120FF0" w:rsidP="00120FF0">
      <w:pPr>
        <w:pStyle w:val="Heading2"/>
        <w:rPr>
          <w:rFonts w:eastAsia="Times New Roman"/>
        </w:rPr>
      </w:pPr>
      <w:r>
        <w:rPr>
          <w:rFonts w:eastAsia="Times New Roman"/>
        </w:rPr>
        <w:t xml:space="preserve">Please can you tell me how many cars were caught speeding at the following safety camera locations in Ayrshire last year (2023) </w:t>
      </w:r>
      <w:r w:rsidR="00E94073">
        <w:rPr>
          <w:rFonts w:eastAsia="Times New Roman"/>
        </w:rPr>
        <w:t>-</w:t>
      </w:r>
      <w:r>
        <w:rPr>
          <w:rFonts w:eastAsia="Times New Roman"/>
        </w:rPr>
        <w:t xml:space="preserve"> these locations provided by Safety Cameras Scotland?</w:t>
      </w:r>
    </w:p>
    <w:p w14:paraId="1102733A" w14:textId="2C7522DC" w:rsidR="00F767DC" w:rsidRDefault="00F767DC" w:rsidP="00F767DC">
      <w:pPr>
        <w:pStyle w:val="Heading2"/>
        <w:rPr>
          <w:rFonts w:eastAsia="Times New Roman"/>
        </w:rPr>
      </w:pPr>
      <w:r>
        <w:rPr>
          <w:rFonts w:eastAsia="Times New Roman"/>
        </w:rPr>
        <w:t xml:space="preserve">Further to this, I ask that data is provided </w:t>
      </w:r>
      <w:r w:rsidR="00E94073">
        <w:rPr>
          <w:rFonts w:eastAsia="Times New Roman"/>
        </w:rPr>
        <w:t>-</w:t>
      </w:r>
      <w:r>
        <w:rPr>
          <w:rFonts w:eastAsia="Times New Roman"/>
        </w:rPr>
        <w:t xml:space="preserve"> for the same time frame </w:t>
      </w:r>
      <w:r w:rsidR="00E94073">
        <w:rPr>
          <w:rFonts w:eastAsia="Times New Roman"/>
        </w:rPr>
        <w:t>-</w:t>
      </w:r>
      <w:r>
        <w:rPr>
          <w:rFonts w:eastAsia="Times New Roman"/>
        </w:rPr>
        <w:t xml:space="preserve"> relating to the fastest and slowest speeds recorded at each location, which lead to a speeding offence.</w:t>
      </w:r>
    </w:p>
    <w:p w14:paraId="3516A103" w14:textId="1013595D" w:rsidR="00F767DC" w:rsidRPr="00F767DC" w:rsidRDefault="00F767DC" w:rsidP="00F767DC">
      <w:pPr>
        <w:pStyle w:val="Heading2"/>
        <w:rPr>
          <w:rFonts w:eastAsia="Times New Roman"/>
        </w:rPr>
      </w:pPr>
      <w:r>
        <w:rPr>
          <w:rFonts w:eastAsia="Times New Roman"/>
        </w:rPr>
        <w:t xml:space="preserve">Further to this, I ask that data is provided </w:t>
      </w:r>
      <w:r w:rsidR="00E94073">
        <w:rPr>
          <w:rFonts w:eastAsia="Times New Roman"/>
        </w:rPr>
        <w:t>-</w:t>
      </w:r>
      <w:r>
        <w:rPr>
          <w:rFonts w:eastAsia="Times New Roman"/>
        </w:rPr>
        <w:t xml:space="preserve"> for the same time frame </w:t>
      </w:r>
      <w:r w:rsidR="00E94073">
        <w:rPr>
          <w:rFonts w:eastAsia="Times New Roman"/>
        </w:rPr>
        <w:t>-</w:t>
      </w:r>
      <w:r>
        <w:rPr>
          <w:rFonts w:eastAsia="Times New Roman"/>
        </w:rPr>
        <w:t xml:space="preserve"> relating to the fastest and slowest speeds recorded at each location, which lead to a speeding offence.</w:t>
      </w:r>
    </w:p>
    <w:p w14:paraId="5E00552F" w14:textId="10232E04" w:rsidR="007C1AAA" w:rsidRPr="00F767DC" w:rsidRDefault="007C1AAA" w:rsidP="007C1AAA">
      <w:pPr>
        <w:pStyle w:val="ListParagraph"/>
        <w:numPr>
          <w:ilvl w:val="0"/>
          <w:numId w:val="7"/>
        </w:numPr>
        <w:rPr>
          <w:b/>
          <w:bCs/>
        </w:rPr>
      </w:pPr>
      <w:r w:rsidRPr="00F767DC">
        <w:rPr>
          <w:b/>
          <w:bCs/>
        </w:rPr>
        <w:t>A737 Kilwinning Road, Irvine, near James Crescent</w:t>
      </w:r>
    </w:p>
    <w:p w14:paraId="4DD0C3F7" w14:textId="4439C5E5" w:rsidR="007C1AAA" w:rsidRPr="00F767DC" w:rsidRDefault="007C1AAA" w:rsidP="007C1AAA">
      <w:pPr>
        <w:pStyle w:val="ListParagraph"/>
        <w:numPr>
          <w:ilvl w:val="0"/>
          <w:numId w:val="7"/>
        </w:numPr>
        <w:rPr>
          <w:b/>
          <w:bCs/>
        </w:rPr>
      </w:pPr>
      <w:r w:rsidRPr="00F767DC">
        <w:rPr>
          <w:b/>
          <w:bCs/>
        </w:rPr>
        <w:t>A738 Stevenston Road, Kilwinning, near Segton Avenue</w:t>
      </w:r>
    </w:p>
    <w:p w14:paraId="5CFAB70A" w14:textId="20A76BDF" w:rsidR="007C1AAA" w:rsidRPr="00F767DC" w:rsidRDefault="007C1AAA" w:rsidP="007C1AAA">
      <w:pPr>
        <w:pStyle w:val="ListParagraph"/>
        <w:numPr>
          <w:ilvl w:val="0"/>
          <w:numId w:val="7"/>
        </w:numPr>
        <w:rPr>
          <w:b/>
          <w:bCs/>
        </w:rPr>
      </w:pPr>
      <w:r w:rsidRPr="00F767DC">
        <w:rPr>
          <w:b/>
          <w:bCs/>
        </w:rPr>
        <w:t>B7049 Dalry Road, Beith, near Grahamfield Place</w:t>
      </w:r>
    </w:p>
    <w:p w14:paraId="194CF272" w14:textId="6BEE4BAF" w:rsidR="007C1AAA" w:rsidRPr="00F767DC" w:rsidRDefault="007C1AAA" w:rsidP="007C1AAA">
      <w:pPr>
        <w:pStyle w:val="ListParagraph"/>
        <w:numPr>
          <w:ilvl w:val="0"/>
          <w:numId w:val="7"/>
        </w:numPr>
        <w:rPr>
          <w:b/>
          <w:bCs/>
        </w:rPr>
      </w:pPr>
      <w:r w:rsidRPr="00F767DC">
        <w:rPr>
          <w:b/>
          <w:bCs/>
        </w:rPr>
        <w:t>A719 Main Road, Ayr, near Glenmuir Place</w:t>
      </w:r>
    </w:p>
    <w:p w14:paraId="37FDC3E6" w14:textId="657D53BD" w:rsidR="007C1AAA" w:rsidRPr="00F767DC" w:rsidRDefault="007C1AAA" w:rsidP="007C1AAA">
      <w:pPr>
        <w:pStyle w:val="ListParagraph"/>
        <w:numPr>
          <w:ilvl w:val="0"/>
          <w:numId w:val="7"/>
        </w:numPr>
        <w:rPr>
          <w:b/>
          <w:bCs/>
        </w:rPr>
      </w:pPr>
      <w:r w:rsidRPr="00F767DC">
        <w:rPr>
          <w:b/>
          <w:bCs/>
        </w:rPr>
        <w:t>A71 Loudoun Road, Newmilns, near Gilfoot</w:t>
      </w:r>
    </w:p>
    <w:p w14:paraId="788C0F99" w14:textId="299B6B5B" w:rsidR="007C1AAA" w:rsidRPr="00F767DC" w:rsidRDefault="007C1AAA" w:rsidP="007C1AAA">
      <w:pPr>
        <w:pStyle w:val="ListParagraph"/>
        <w:numPr>
          <w:ilvl w:val="0"/>
          <w:numId w:val="7"/>
        </w:numPr>
        <w:rPr>
          <w:b/>
          <w:bCs/>
        </w:rPr>
      </w:pPr>
      <w:r w:rsidRPr="00F767DC">
        <w:rPr>
          <w:b/>
          <w:bCs/>
        </w:rPr>
        <w:t>A737 Irvine Road, Kilwinning, near Smith Crescent</w:t>
      </w:r>
    </w:p>
    <w:p w14:paraId="47271544" w14:textId="47722F3A" w:rsidR="00F767DC" w:rsidRDefault="00F767DC" w:rsidP="00926E5C">
      <w:r>
        <w:t xml:space="preserve">Having considered your request in terms of the Act, I am refusing to confirm or deny whether the information sought in relation to the </w:t>
      </w:r>
      <w:r>
        <w:rPr>
          <w:i/>
          <w:iCs/>
        </w:rPr>
        <w:t xml:space="preserve">fixed </w:t>
      </w:r>
      <w:r>
        <w:t>safety cameras listed above, exists or is held by Police Scotland in terms of section 18 of the Act which applies where the following two conditions are met:</w:t>
      </w:r>
    </w:p>
    <w:p w14:paraId="4167B4AF" w14:textId="77777777" w:rsidR="00F767DC" w:rsidRDefault="00F767DC" w:rsidP="00F767DC">
      <w:pPr>
        <w:pStyle w:val="ListParagraph"/>
        <w:numPr>
          <w:ilvl w:val="0"/>
          <w:numId w:val="10"/>
        </w:numPr>
      </w:pPr>
      <w:r>
        <w:t>It would be contrary to the public interest to reveal whether the information is held.</w:t>
      </w:r>
    </w:p>
    <w:p w14:paraId="7B2352AB" w14:textId="65F633D9" w:rsidR="00F767DC" w:rsidRDefault="00F767DC" w:rsidP="00F767DC">
      <w:pPr>
        <w:pStyle w:val="ListParagraph"/>
        <w:ind w:left="360"/>
      </w:pPr>
      <w:r>
        <w:t>Whilst we accept that the public are interested in the operation and effectiveness of safety cameras, the overwhelming public interest lies in preventing the commission of road traffic offences and keeping road users safe from harm.</w:t>
      </w:r>
    </w:p>
    <w:p w14:paraId="4EAD2218" w14:textId="08A74DE0" w:rsidR="00CF291E" w:rsidRPr="00F767DC" w:rsidRDefault="00F767DC" w:rsidP="0094654B">
      <w:pPr>
        <w:pStyle w:val="ListParagraph"/>
        <w:numPr>
          <w:ilvl w:val="0"/>
          <w:numId w:val="10"/>
        </w:numPr>
        <w:tabs>
          <w:tab w:val="left" w:pos="5400"/>
        </w:tabs>
        <w:rPr>
          <w:rFonts w:eastAsiaTheme="majorEastAsia" w:cstheme="majorBidi"/>
          <w:bCs/>
          <w:color w:val="000000" w:themeColor="text1"/>
          <w:szCs w:val="26"/>
        </w:rPr>
      </w:pPr>
      <w:r>
        <w:t>If the information was held, it would be exempt from disclosure in terms of at least one exemption set out in the Act.  In this instance, the following exemptions would apply:</w:t>
      </w:r>
    </w:p>
    <w:p w14:paraId="1D5D10AE" w14:textId="4196BBBD" w:rsidR="0094654B" w:rsidRPr="00E94073" w:rsidRDefault="0094654B" w:rsidP="0094654B">
      <w:pPr>
        <w:tabs>
          <w:tab w:val="left" w:pos="5400"/>
        </w:tabs>
        <w:rPr>
          <w:rFonts w:eastAsiaTheme="majorEastAsia" w:cstheme="majorBidi"/>
          <w:bCs/>
          <w:i/>
          <w:iCs/>
          <w:color w:val="000000" w:themeColor="text1"/>
          <w:szCs w:val="26"/>
        </w:rPr>
      </w:pPr>
      <w:r w:rsidRPr="00E94073">
        <w:rPr>
          <w:bCs/>
          <w:i/>
          <w:iCs/>
        </w:rPr>
        <w:lastRenderedPageBreak/>
        <w:t xml:space="preserve">Section 35(1)(a)&amp;(b) - Law Enforcement </w:t>
      </w:r>
    </w:p>
    <w:p w14:paraId="1655AAEC" w14:textId="7CF2AB20" w:rsidR="0094654B" w:rsidRDefault="00F767DC" w:rsidP="0094654B">
      <w:pPr>
        <w:tabs>
          <w:tab w:val="left" w:pos="5400"/>
        </w:tabs>
      </w:pPr>
      <w:r>
        <w:t>Disclosure</w:t>
      </w:r>
      <w:r w:rsidR="0094654B">
        <w:t xml:space="preserve"> would </w:t>
      </w:r>
      <w:r>
        <w:t>substantially</w:t>
      </w:r>
      <w:r w:rsidR="0094654B">
        <w:t xml:space="preserve"> prejudice the prevention and detection of crime and the apprehension or prosecution of offenders. </w:t>
      </w:r>
      <w:r w:rsidR="00A23468">
        <w:t xml:space="preserve"> It is common knowledge that not all fixed safety cameras will be operational at any given time.  Provision of data on a per camera basis will allow members of the public to gauge which cameras are active.</w:t>
      </w:r>
    </w:p>
    <w:p w14:paraId="6F8ACCB0" w14:textId="77777777" w:rsidR="0094654B" w:rsidRPr="00E94073" w:rsidRDefault="0094654B" w:rsidP="0094654B">
      <w:pPr>
        <w:tabs>
          <w:tab w:val="left" w:pos="5400"/>
        </w:tabs>
        <w:rPr>
          <w:bCs/>
          <w:i/>
          <w:iCs/>
        </w:rPr>
      </w:pPr>
      <w:r w:rsidRPr="00E94073">
        <w:rPr>
          <w:bCs/>
          <w:i/>
          <w:iCs/>
        </w:rPr>
        <w:t>Section 39(1) - Health, Safety and the Environment</w:t>
      </w:r>
    </w:p>
    <w:p w14:paraId="3ADB7B8B" w14:textId="329FA7C9" w:rsidR="0094654B" w:rsidRDefault="00A23468" w:rsidP="0094654B">
      <w:pPr>
        <w:tabs>
          <w:tab w:val="left" w:pos="5400"/>
        </w:tabs>
      </w:pPr>
      <w:r>
        <w:t>Di</w:t>
      </w:r>
      <w:r w:rsidR="0094654B">
        <w:t>sclosure would endanger the physical health or safety of an individual</w:t>
      </w:r>
      <w:r w:rsidR="00E94073">
        <w:t xml:space="preserve"> by </w:t>
      </w:r>
      <w:r w:rsidR="0094654B">
        <w:t>encourag</w:t>
      </w:r>
      <w:r w:rsidR="00E94073">
        <w:t xml:space="preserve">ing </w:t>
      </w:r>
      <w:r w:rsidR="0094654B">
        <w:t>road users to commit offences, thereby endangering other road users and pedestrians and render</w:t>
      </w:r>
      <w:r w:rsidR="00E94073">
        <w:t>ing</w:t>
      </w:r>
      <w:r w:rsidR="0094654B">
        <w:t xml:space="preserve"> the safety camera</w:t>
      </w:r>
      <w:r w:rsidR="00E94073">
        <w:t>s</w:t>
      </w:r>
      <w:r w:rsidR="0094654B">
        <w:t xml:space="preserve"> ineffective as a </w:t>
      </w:r>
      <w:r w:rsidR="00E94073">
        <w:t xml:space="preserve">preventative </w:t>
      </w:r>
      <w:r w:rsidR="0094654B">
        <w:t xml:space="preserve">road safety measure. </w:t>
      </w:r>
    </w:p>
    <w:p w14:paraId="111F43DD" w14:textId="77777777" w:rsidR="0094654B" w:rsidRPr="00E94073" w:rsidRDefault="0094654B" w:rsidP="0094654B">
      <w:pPr>
        <w:tabs>
          <w:tab w:val="left" w:pos="5400"/>
        </w:tabs>
        <w:rPr>
          <w:bCs/>
          <w:i/>
          <w:iCs/>
        </w:rPr>
      </w:pPr>
      <w:r w:rsidRPr="00E94073">
        <w:rPr>
          <w:bCs/>
          <w:i/>
          <w:iCs/>
        </w:rPr>
        <w:t xml:space="preserve">Public Interest Test </w:t>
      </w:r>
    </w:p>
    <w:p w14:paraId="6CEB746B" w14:textId="77777777" w:rsidR="00A23468" w:rsidRDefault="0094654B" w:rsidP="0094654B">
      <w:pPr>
        <w:tabs>
          <w:tab w:val="left" w:pos="5400"/>
        </w:tabs>
      </w:pPr>
      <w:r>
        <w:t xml:space="preserve">It could be argued that public awareness and accountability would favour disclosure. That said, the application of the exemptions listed above, the efficient/ effective conduct of Police Scotland and overall public safety favour non-disclosure of the information. </w:t>
      </w:r>
    </w:p>
    <w:p w14:paraId="5826487D" w14:textId="2F2E00B5" w:rsidR="00F767DC" w:rsidRDefault="0094654B" w:rsidP="0094654B">
      <w:pPr>
        <w:tabs>
          <w:tab w:val="left" w:pos="5400"/>
        </w:tabs>
      </w:pPr>
      <w:r>
        <w:t xml:space="preserve">On balance it is considered that the public interest in disclosing </w:t>
      </w:r>
      <w:r w:rsidR="00E94073">
        <w:t>activity</w:t>
      </w:r>
      <w:r>
        <w:t xml:space="preserve"> data is outweighed by the potential consequences to law enforcement and the impact such a release would have on road safety measures.</w:t>
      </w:r>
    </w:p>
    <w:p w14:paraId="1E5BD4B2" w14:textId="77777777" w:rsidR="00A23468" w:rsidRDefault="00A23468" w:rsidP="0094654B">
      <w:pPr>
        <w:tabs>
          <w:tab w:val="left" w:pos="5400"/>
        </w:tabs>
      </w:pPr>
    </w:p>
    <w:p w14:paraId="67D4E921" w14:textId="77777777" w:rsidR="00F767DC" w:rsidRPr="00F767DC" w:rsidRDefault="00F767DC" w:rsidP="00F767DC">
      <w:pPr>
        <w:pStyle w:val="ListParagraph"/>
        <w:numPr>
          <w:ilvl w:val="0"/>
          <w:numId w:val="9"/>
        </w:numPr>
        <w:rPr>
          <w:b/>
          <w:bCs/>
          <w:color w:val="000000" w:themeColor="text1"/>
        </w:rPr>
      </w:pPr>
      <w:r w:rsidRPr="00F767DC">
        <w:rPr>
          <w:b/>
          <w:bCs/>
          <w:color w:val="000000" w:themeColor="text1"/>
        </w:rPr>
        <w:t>B714 Dalry Road, Saltcoats near Kenilworth Drive</w:t>
      </w:r>
    </w:p>
    <w:p w14:paraId="1B2358AF" w14:textId="77777777" w:rsidR="00F767DC" w:rsidRPr="00F767DC" w:rsidRDefault="00F767DC" w:rsidP="00F767DC">
      <w:pPr>
        <w:pStyle w:val="ListParagraph"/>
        <w:numPr>
          <w:ilvl w:val="0"/>
          <w:numId w:val="9"/>
        </w:numPr>
        <w:rPr>
          <w:b/>
          <w:bCs/>
          <w:color w:val="000000" w:themeColor="text1"/>
        </w:rPr>
      </w:pPr>
      <w:r w:rsidRPr="00F767DC">
        <w:rPr>
          <w:b/>
          <w:bCs/>
          <w:color w:val="000000" w:themeColor="text1"/>
        </w:rPr>
        <w:t>B714 Dalry Road, Saltcoats near Lochranza Place</w:t>
      </w:r>
    </w:p>
    <w:p w14:paraId="472055BF" w14:textId="77777777" w:rsidR="00F767DC" w:rsidRPr="00F767DC" w:rsidRDefault="00F767DC" w:rsidP="00F767DC">
      <w:pPr>
        <w:pStyle w:val="ListParagraph"/>
        <w:numPr>
          <w:ilvl w:val="0"/>
          <w:numId w:val="9"/>
        </w:numPr>
        <w:rPr>
          <w:b/>
          <w:bCs/>
          <w:color w:val="000000" w:themeColor="text1"/>
        </w:rPr>
      </w:pPr>
      <w:r w:rsidRPr="00F767DC">
        <w:rPr>
          <w:b/>
          <w:bCs/>
          <w:color w:val="000000" w:themeColor="text1"/>
        </w:rPr>
        <w:t>A77 (Average speed cameras)</w:t>
      </w:r>
    </w:p>
    <w:p w14:paraId="7671293F" w14:textId="77777777" w:rsidR="00F767DC" w:rsidRPr="00F767DC" w:rsidRDefault="00F767DC" w:rsidP="00F767DC">
      <w:pPr>
        <w:pStyle w:val="ListParagraph"/>
        <w:numPr>
          <w:ilvl w:val="0"/>
          <w:numId w:val="9"/>
        </w:numPr>
        <w:rPr>
          <w:b/>
          <w:bCs/>
          <w:color w:val="000000" w:themeColor="text1"/>
        </w:rPr>
      </w:pPr>
      <w:r w:rsidRPr="00F767DC">
        <w:rPr>
          <w:b/>
          <w:bCs/>
          <w:color w:val="000000" w:themeColor="text1"/>
        </w:rPr>
        <w:t>A78 Main Road, Fairlie, near Kelburn Avenue</w:t>
      </w:r>
    </w:p>
    <w:p w14:paraId="01945A99" w14:textId="77777777" w:rsidR="00F767DC" w:rsidRPr="00F767DC" w:rsidRDefault="00F767DC" w:rsidP="00F767DC">
      <w:pPr>
        <w:pStyle w:val="ListParagraph"/>
        <w:numPr>
          <w:ilvl w:val="0"/>
          <w:numId w:val="9"/>
        </w:numPr>
        <w:rPr>
          <w:b/>
          <w:bCs/>
          <w:color w:val="000000" w:themeColor="text1"/>
        </w:rPr>
      </w:pPr>
      <w:r w:rsidRPr="00F767DC">
        <w:rPr>
          <w:b/>
          <w:bCs/>
          <w:color w:val="000000" w:themeColor="text1"/>
        </w:rPr>
        <w:t>A78 Main Road, Fairlie, near School Brae</w:t>
      </w:r>
    </w:p>
    <w:p w14:paraId="59EF0EE0" w14:textId="0CFDEDA9" w:rsidR="00F767DC" w:rsidRPr="00F767DC" w:rsidRDefault="00F767DC" w:rsidP="00F767DC">
      <w:pPr>
        <w:pStyle w:val="ListParagraph"/>
        <w:numPr>
          <w:ilvl w:val="0"/>
          <w:numId w:val="9"/>
        </w:numPr>
        <w:rPr>
          <w:b/>
          <w:bCs/>
          <w:color w:val="000000" w:themeColor="text1"/>
        </w:rPr>
      </w:pPr>
      <w:r w:rsidRPr="00F767DC">
        <w:rPr>
          <w:b/>
          <w:bCs/>
          <w:color w:val="000000" w:themeColor="text1"/>
        </w:rPr>
        <w:t>A78 Irvine Road, Fairlie, near Montgomerie Avenue</w:t>
      </w:r>
    </w:p>
    <w:p w14:paraId="133DDB98" w14:textId="3CFE7EAF" w:rsidR="00644B18" w:rsidRDefault="00A23468" w:rsidP="0094654B">
      <w:pPr>
        <w:tabs>
          <w:tab w:val="left" w:pos="5400"/>
        </w:tabs>
      </w:pPr>
      <w:r>
        <w:t>The table below details</w:t>
      </w:r>
      <w:r w:rsidR="00644B18">
        <w:t xml:space="preserve"> cars caught speeding at the </w:t>
      </w:r>
      <w:r w:rsidR="00F767DC">
        <w:rPr>
          <w:i/>
          <w:iCs/>
        </w:rPr>
        <w:t xml:space="preserve">mobile </w:t>
      </w:r>
      <w:r w:rsidR="00F767DC">
        <w:t xml:space="preserve">and </w:t>
      </w:r>
      <w:r w:rsidR="00F767DC">
        <w:rPr>
          <w:i/>
          <w:iCs/>
        </w:rPr>
        <w:t>average</w:t>
      </w:r>
      <w:r>
        <w:rPr>
          <w:i/>
          <w:iCs/>
        </w:rPr>
        <w:t xml:space="preserve"> speed</w:t>
      </w:r>
      <w:r w:rsidR="00F767DC">
        <w:rPr>
          <w:i/>
          <w:iCs/>
        </w:rPr>
        <w:t xml:space="preserve"> </w:t>
      </w:r>
      <w:r w:rsidR="00644B18">
        <w:t xml:space="preserve">safety camera locations </w:t>
      </w:r>
      <w:r w:rsidR="00F767DC">
        <w:t>above:</w:t>
      </w:r>
    </w:p>
    <w:tbl>
      <w:tblPr>
        <w:tblStyle w:val="TableGrid"/>
        <w:tblW w:w="9918" w:type="dxa"/>
        <w:tblLayout w:type="fixed"/>
        <w:tblLook w:val="04A0" w:firstRow="1" w:lastRow="0" w:firstColumn="1" w:lastColumn="0" w:noHBand="0" w:noVBand="1"/>
      </w:tblPr>
      <w:tblGrid>
        <w:gridCol w:w="5382"/>
        <w:gridCol w:w="1134"/>
        <w:gridCol w:w="1276"/>
        <w:gridCol w:w="992"/>
        <w:gridCol w:w="1134"/>
      </w:tblGrid>
      <w:tr w:rsidR="00F767DC" w14:paraId="62E3B60F" w14:textId="77777777" w:rsidTr="00A23468">
        <w:trPr>
          <w:tblHeader/>
        </w:trPr>
        <w:tc>
          <w:tcPr>
            <w:tcW w:w="5382" w:type="dxa"/>
            <w:shd w:val="clear" w:color="auto" w:fill="D9D9D9" w:themeFill="background1" w:themeFillShade="D9"/>
          </w:tcPr>
          <w:p w14:paraId="7286A715" w14:textId="77777777" w:rsidR="00F767DC" w:rsidRPr="00017D22" w:rsidRDefault="00F767DC" w:rsidP="00F767DC">
            <w:pPr>
              <w:spacing w:line="276" w:lineRule="auto"/>
              <w:rPr>
                <w:b/>
                <w:bCs/>
                <w:color w:val="FF0000"/>
              </w:rPr>
            </w:pPr>
            <w:r w:rsidRPr="00017D22">
              <w:rPr>
                <w:b/>
                <w:bCs/>
                <w:color w:val="000000" w:themeColor="text1"/>
              </w:rPr>
              <w:t>Locus</w:t>
            </w:r>
          </w:p>
        </w:tc>
        <w:tc>
          <w:tcPr>
            <w:tcW w:w="1134" w:type="dxa"/>
            <w:shd w:val="clear" w:color="auto" w:fill="D9D9D9" w:themeFill="background1" w:themeFillShade="D9"/>
          </w:tcPr>
          <w:p w14:paraId="32C4CB5D" w14:textId="77777777" w:rsidR="00F767DC" w:rsidRPr="00017D22" w:rsidRDefault="00F767DC" w:rsidP="00F767DC">
            <w:pPr>
              <w:spacing w:line="276" w:lineRule="auto"/>
              <w:rPr>
                <w:b/>
                <w:bCs/>
                <w:color w:val="000000" w:themeColor="text1"/>
              </w:rPr>
            </w:pPr>
            <w:r w:rsidRPr="00017D22">
              <w:rPr>
                <w:b/>
                <w:bCs/>
                <w:color w:val="000000" w:themeColor="text1"/>
              </w:rPr>
              <w:t>Camera Type</w:t>
            </w:r>
          </w:p>
        </w:tc>
        <w:tc>
          <w:tcPr>
            <w:tcW w:w="1276" w:type="dxa"/>
            <w:shd w:val="clear" w:color="auto" w:fill="D9D9D9" w:themeFill="background1" w:themeFillShade="D9"/>
          </w:tcPr>
          <w:p w14:paraId="42BA76A4" w14:textId="77777777" w:rsidR="00F767DC" w:rsidRPr="00017D22" w:rsidRDefault="00F767DC" w:rsidP="00F767DC">
            <w:pPr>
              <w:spacing w:line="276" w:lineRule="auto"/>
              <w:rPr>
                <w:b/>
                <w:bCs/>
                <w:color w:val="000000" w:themeColor="text1"/>
              </w:rPr>
            </w:pPr>
            <w:r>
              <w:rPr>
                <w:b/>
                <w:bCs/>
                <w:color w:val="000000" w:themeColor="text1"/>
              </w:rPr>
              <w:t>Offences</w:t>
            </w:r>
          </w:p>
        </w:tc>
        <w:tc>
          <w:tcPr>
            <w:tcW w:w="992" w:type="dxa"/>
            <w:shd w:val="clear" w:color="auto" w:fill="D9D9D9" w:themeFill="background1" w:themeFillShade="D9"/>
          </w:tcPr>
          <w:p w14:paraId="066652D7" w14:textId="77777777" w:rsidR="00F767DC" w:rsidRPr="00017D22" w:rsidRDefault="00F767DC" w:rsidP="00F767DC">
            <w:pPr>
              <w:spacing w:line="276" w:lineRule="auto"/>
              <w:rPr>
                <w:b/>
                <w:bCs/>
                <w:color w:val="000000" w:themeColor="text1"/>
              </w:rPr>
            </w:pPr>
            <w:r w:rsidRPr="00017D22">
              <w:rPr>
                <w:b/>
                <w:bCs/>
                <w:color w:val="000000" w:themeColor="text1"/>
              </w:rPr>
              <w:t xml:space="preserve">Top speed </w:t>
            </w:r>
          </w:p>
        </w:tc>
        <w:tc>
          <w:tcPr>
            <w:tcW w:w="1134" w:type="dxa"/>
            <w:shd w:val="clear" w:color="auto" w:fill="D9D9D9" w:themeFill="background1" w:themeFillShade="D9"/>
          </w:tcPr>
          <w:p w14:paraId="1E84ACBE" w14:textId="77777777" w:rsidR="00F767DC" w:rsidRPr="00017D22" w:rsidRDefault="00F767DC" w:rsidP="00F767DC">
            <w:pPr>
              <w:spacing w:line="276" w:lineRule="auto"/>
              <w:rPr>
                <w:b/>
                <w:bCs/>
                <w:color w:val="000000" w:themeColor="text1"/>
              </w:rPr>
            </w:pPr>
            <w:r w:rsidRPr="00017D22">
              <w:rPr>
                <w:b/>
                <w:bCs/>
                <w:color w:val="000000" w:themeColor="text1"/>
              </w:rPr>
              <w:t>COFP</w:t>
            </w:r>
            <w:r>
              <w:rPr>
                <w:b/>
                <w:bCs/>
                <w:color w:val="000000" w:themeColor="text1"/>
              </w:rPr>
              <w:t>N</w:t>
            </w:r>
            <w:r w:rsidRPr="00017D22">
              <w:rPr>
                <w:b/>
                <w:bCs/>
                <w:color w:val="000000" w:themeColor="text1"/>
              </w:rPr>
              <w:t xml:space="preserve"> issued</w:t>
            </w:r>
          </w:p>
        </w:tc>
      </w:tr>
      <w:tr w:rsidR="00F767DC" w14:paraId="5D2258C7" w14:textId="77777777" w:rsidTr="00F767DC">
        <w:tc>
          <w:tcPr>
            <w:tcW w:w="5382" w:type="dxa"/>
          </w:tcPr>
          <w:p w14:paraId="54CC50C3" w14:textId="0EFCD1AB" w:rsidR="00F767DC" w:rsidRDefault="00F767DC" w:rsidP="00F767DC">
            <w:pPr>
              <w:spacing w:line="276" w:lineRule="auto"/>
              <w:rPr>
                <w:color w:val="FF0000"/>
              </w:rPr>
            </w:pPr>
            <w:r w:rsidRPr="00F735C3">
              <w:t>A78 Main Road, Fairlie, near Kelburn Ave</w:t>
            </w:r>
            <w:r>
              <w:t>.</w:t>
            </w:r>
          </w:p>
        </w:tc>
        <w:tc>
          <w:tcPr>
            <w:tcW w:w="1134" w:type="dxa"/>
          </w:tcPr>
          <w:p w14:paraId="3D433796" w14:textId="77777777" w:rsidR="00F767DC" w:rsidRPr="00017D22" w:rsidRDefault="00F767DC" w:rsidP="00F767DC">
            <w:pPr>
              <w:spacing w:line="276" w:lineRule="auto"/>
              <w:rPr>
                <w:color w:val="000000" w:themeColor="text1"/>
              </w:rPr>
            </w:pPr>
            <w:r w:rsidRPr="00017D22">
              <w:rPr>
                <w:color w:val="000000" w:themeColor="text1"/>
              </w:rPr>
              <w:t>Mobile</w:t>
            </w:r>
          </w:p>
        </w:tc>
        <w:tc>
          <w:tcPr>
            <w:tcW w:w="1276" w:type="dxa"/>
          </w:tcPr>
          <w:p w14:paraId="56B83ACD" w14:textId="77777777" w:rsidR="00F767DC" w:rsidRDefault="00F767DC" w:rsidP="00F767DC">
            <w:pPr>
              <w:spacing w:line="276" w:lineRule="auto"/>
              <w:rPr>
                <w:color w:val="FF0000"/>
              </w:rPr>
            </w:pPr>
            <w:r w:rsidRPr="00830B05">
              <w:t>0</w:t>
            </w:r>
          </w:p>
        </w:tc>
        <w:tc>
          <w:tcPr>
            <w:tcW w:w="992" w:type="dxa"/>
          </w:tcPr>
          <w:p w14:paraId="74B4A4FC" w14:textId="77777777" w:rsidR="00F767DC" w:rsidRDefault="00F767DC" w:rsidP="00F767DC">
            <w:pPr>
              <w:spacing w:line="276" w:lineRule="auto"/>
              <w:rPr>
                <w:color w:val="FF0000"/>
              </w:rPr>
            </w:pPr>
            <w:r w:rsidRPr="00672C93">
              <w:t>0</w:t>
            </w:r>
          </w:p>
        </w:tc>
        <w:tc>
          <w:tcPr>
            <w:tcW w:w="1134" w:type="dxa"/>
          </w:tcPr>
          <w:p w14:paraId="512A4192" w14:textId="77777777" w:rsidR="00F767DC" w:rsidRDefault="00F767DC" w:rsidP="00F767DC">
            <w:pPr>
              <w:spacing w:line="276" w:lineRule="auto"/>
              <w:rPr>
                <w:color w:val="FF0000"/>
              </w:rPr>
            </w:pPr>
            <w:r w:rsidRPr="00BB77E8">
              <w:t>0</w:t>
            </w:r>
          </w:p>
        </w:tc>
      </w:tr>
      <w:tr w:rsidR="00F767DC" w14:paraId="64726F12" w14:textId="77777777" w:rsidTr="00F767DC">
        <w:tc>
          <w:tcPr>
            <w:tcW w:w="5382" w:type="dxa"/>
          </w:tcPr>
          <w:p w14:paraId="09B4A2DD" w14:textId="77777777" w:rsidR="00F767DC" w:rsidRDefault="00F767DC" w:rsidP="00F767DC">
            <w:pPr>
              <w:spacing w:line="276" w:lineRule="auto"/>
              <w:rPr>
                <w:color w:val="FF0000"/>
              </w:rPr>
            </w:pPr>
            <w:r w:rsidRPr="00F735C3">
              <w:t>A78 Main Road, Fairlie, near School Brae</w:t>
            </w:r>
          </w:p>
        </w:tc>
        <w:tc>
          <w:tcPr>
            <w:tcW w:w="1134" w:type="dxa"/>
          </w:tcPr>
          <w:p w14:paraId="71D8A038" w14:textId="77777777" w:rsidR="00F767DC" w:rsidRDefault="00F767DC" w:rsidP="00F767DC">
            <w:pPr>
              <w:spacing w:line="276" w:lineRule="auto"/>
              <w:rPr>
                <w:color w:val="FF0000"/>
              </w:rPr>
            </w:pPr>
            <w:r w:rsidRPr="00C34CC4">
              <w:t>Mobile</w:t>
            </w:r>
          </w:p>
        </w:tc>
        <w:tc>
          <w:tcPr>
            <w:tcW w:w="1276" w:type="dxa"/>
          </w:tcPr>
          <w:p w14:paraId="1E877D6E" w14:textId="77777777" w:rsidR="00F767DC" w:rsidRDefault="00F767DC" w:rsidP="00F767DC">
            <w:pPr>
              <w:spacing w:line="276" w:lineRule="auto"/>
              <w:rPr>
                <w:color w:val="FF0000"/>
              </w:rPr>
            </w:pPr>
            <w:r w:rsidRPr="00830B05">
              <w:t>0</w:t>
            </w:r>
          </w:p>
        </w:tc>
        <w:tc>
          <w:tcPr>
            <w:tcW w:w="992" w:type="dxa"/>
          </w:tcPr>
          <w:p w14:paraId="4EE3ACD1" w14:textId="77777777" w:rsidR="00F767DC" w:rsidRDefault="00F767DC" w:rsidP="00F767DC">
            <w:pPr>
              <w:spacing w:line="276" w:lineRule="auto"/>
              <w:rPr>
                <w:color w:val="FF0000"/>
              </w:rPr>
            </w:pPr>
            <w:r w:rsidRPr="00672C93">
              <w:t>0</w:t>
            </w:r>
          </w:p>
        </w:tc>
        <w:tc>
          <w:tcPr>
            <w:tcW w:w="1134" w:type="dxa"/>
          </w:tcPr>
          <w:p w14:paraId="0F69AF30" w14:textId="77777777" w:rsidR="00F767DC" w:rsidRDefault="00F767DC" w:rsidP="00F767DC">
            <w:pPr>
              <w:spacing w:line="276" w:lineRule="auto"/>
              <w:rPr>
                <w:color w:val="FF0000"/>
              </w:rPr>
            </w:pPr>
            <w:r w:rsidRPr="00BB77E8">
              <w:t>0</w:t>
            </w:r>
          </w:p>
        </w:tc>
      </w:tr>
      <w:tr w:rsidR="00F767DC" w14:paraId="61FD36A5" w14:textId="77777777" w:rsidTr="00F767DC">
        <w:tc>
          <w:tcPr>
            <w:tcW w:w="5382" w:type="dxa"/>
          </w:tcPr>
          <w:p w14:paraId="151BECF1" w14:textId="14045667" w:rsidR="00F767DC" w:rsidRDefault="00F767DC" w:rsidP="00F767DC">
            <w:pPr>
              <w:spacing w:line="276" w:lineRule="auto"/>
              <w:rPr>
                <w:color w:val="FF0000"/>
              </w:rPr>
            </w:pPr>
            <w:r w:rsidRPr="00F735C3">
              <w:lastRenderedPageBreak/>
              <w:t>A78 Irvine Road, Fairlie, near Montgomerie Ave</w:t>
            </w:r>
            <w:r>
              <w:t>.</w:t>
            </w:r>
          </w:p>
        </w:tc>
        <w:tc>
          <w:tcPr>
            <w:tcW w:w="1134" w:type="dxa"/>
          </w:tcPr>
          <w:p w14:paraId="6B5DA680" w14:textId="77777777" w:rsidR="00F767DC" w:rsidRDefault="00F767DC" w:rsidP="00F767DC">
            <w:pPr>
              <w:spacing w:line="276" w:lineRule="auto"/>
              <w:rPr>
                <w:color w:val="FF0000"/>
              </w:rPr>
            </w:pPr>
            <w:r w:rsidRPr="00C34CC4">
              <w:t>Mobile</w:t>
            </w:r>
          </w:p>
        </w:tc>
        <w:tc>
          <w:tcPr>
            <w:tcW w:w="1276" w:type="dxa"/>
          </w:tcPr>
          <w:p w14:paraId="02C96B40" w14:textId="77777777" w:rsidR="00F767DC" w:rsidRDefault="00F767DC" w:rsidP="00F767DC">
            <w:pPr>
              <w:spacing w:line="276" w:lineRule="auto"/>
              <w:rPr>
                <w:color w:val="FF0000"/>
              </w:rPr>
            </w:pPr>
            <w:r w:rsidRPr="00830B05">
              <w:t>2</w:t>
            </w:r>
          </w:p>
        </w:tc>
        <w:tc>
          <w:tcPr>
            <w:tcW w:w="992" w:type="dxa"/>
          </w:tcPr>
          <w:p w14:paraId="04241559" w14:textId="77777777" w:rsidR="00F767DC" w:rsidRDefault="00F767DC" w:rsidP="00F767DC">
            <w:pPr>
              <w:spacing w:line="276" w:lineRule="auto"/>
              <w:rPr>
                <w:color w:val="FF0000"/>
              </w:rPr>
            </w:pPr>
            <w:r w:rsidRPr="00672C93">
              <w:t>50</w:t>
            </w:r>
          </w:p>
        </w:tc>
        <w:tc>
          <w:tcPr>
            <w:tcW w:w="1134" w:type="dxa"/>
          </w:tcPr>
          <w:p w14:paraId="7753B96B" w14:textId="77777777" w:rsidR="00F767DC" w:rsidRDefault="00F767DC" w:rsidP="00F767DC">
            <w:pPr>
              <w:spacing w:line="276" w:lineRule="auto"/>
              <w:rPr>
                <w:color w:val="FF0000"/>
              </w:rPr>
            </w:pPr>
            <w:r w:rsidRPr="00BB77E8">
              <w:t>0</w:t>
            </w:r>
          </w:p>
        </w:tc>
      </w:tr>
      <w:tr w:rsidR="00F767DC" w14:paraId="1119CD84" w14:textId="77777777" w:rsidTr="00F767DC">
        <w:tc>
          <w:tcPr>
            <w:tcW w:w="5382" w:type="dxa"/>
          </w:tcPr>
          <w:p w14:paraId="4A264184" w14:textId="6B8CE89D" w:rsidR="00F767DC" w:rsidRDefault="00F767DC" w:rsidP="00F767DC">
            <w:pPr>
              <w:spacing w:line="276" w:lineRule="auto"/>
              <w:rPr>
                <w:color w:val="FF0000"/>
              </w:rPr>
            </w:pPr>
            <w:r w:rsidRPr="00F735C3">
              <w:t>B714 Dalry Road, Saltcoats near Kenilworth Dr</w:t>
            </w:r>
            <w:r>
              <w:t>.</w:t>
            </w:r>
          </w:p>
        </w:tc>
        <w:tc>
          <w:tcPr>
            <w:tcW w:w="1134" w:type="dxa"/>
          </w:tcPr>
          <w:p w14:paraId="38AC3C2C" w14:textId="77777777" w:rsidR="00F767DC" w:rsidRDefault="00F767DC" w:rsidP="00F767DC">
            <w:pPr>
              <w:spacing w:line="276" w:lineRule="auto"/>
              <w:rPr>
                <w:color w:val="FF0000"/>
              </w:rPr>
            </w:pPr>
            <w:r w:rsidRPr="00C34CC4">
              <w:t>Mobile</w:t>
            </w:r>
          </w:p>
        </w:tc>
        <w:tc>
          <w:tcPr>
            <w:tcW w:w="1276" w:type="dxa"/>
          </w:tcPr>
          <w:p w14:paraId="428D27F2" w14:textId="77777777" w:rsidR="00F767DC" w:rsidRDefault="00F767DC" w:rsidP="00F767DC">
            <w:pPr>
              <w:spacing w:line="276" w:lineRule="auto"/>
              <w:rPr>
                <w:color w:val="FF0000"/>
              </w:rPr>
            </w:pPr>
            <w:r w:rsidRPr="00830B05">
              <w:t>0</w:t>
            </w:r>
          </w:p>
        </w:tc>
        <w:tc>
          <w:tcPr>
            <w:tcW w:w="992" w:type="dxa"/>
          </w:tcPr>
          <w:p w14:paraId="3C423F16" w14:textId="77777777" w:rsidR="00F767DC" w:rsidRDefault="00F767DC" w:rsidP="00F767DC">
            <w:pPr>
              <w:spacing w:line="276" w:lineRule="auto"/>
              <w:rPr>
                <w:color w:val="FF0000"/>
              </w:rPr>
            </w:pPr>
            <w:r w:rsidRPr="00672C93">
              <w:t>0</w:t>
            </w:r>
          </w:p>
        </w:tc>
        <w:tc>
          <w:tcPr>
            <w:tcW w:w="1134" w:type="dxa"/>
          </w:tcPr>
          <w:p w14:paraId="547B1678" w14:textId="77777777" w:rsidR="00F767DC" w:rsidRDefault="00F767DC" w:rsidP="00F767DC">
            <w:pPr>
              <w:spacing w:line="276" w:lineRule="auto"/>
              <w:rPr>
                <w:color w:val="FF0000"/>
              </w:rPr>
            </w:pPr>
            <w:r w:rsidRPr="00BB77E8">
              <w:t>0</w:t>
            </w:r>
          </w:p>
        </w:tc>
      </w:tr>
      <w:tr w:rsidR="00F767DC" w14:paraId="246691F6" w14:textId="77777777" w:rsidTr="00F767DC">
        <w:tc>
          <w:tcPr>
            <w:tcW w:w="5382" w:type="dxa"/>
          </w:tcPr>
          <w:p w14:paraId="25EE0537" w14:textId="63D7FD55" w:rsidR="00F767DC" w:rsidRDefault="00F767DC" w:rsidP="00F767DC">
            <w:pPr>
              <w:spacing w:line="276" w:lineRule="auto"/>
              <w:rPr>
                <w:color w:val="FF0000"/>
              </w:rPr>
            </w:pPr>
            <w:r w:rsidRPr="00F735C3">
              <w:t>B714 Dalry Road, Saltcoats near Lochranza Pl</w:t>
            </w:r>
            <w:r>
              <w:t>.</w:t>
            </w:r>
          </w:p>
        </w:tc>
        <w:tc>
          <w:tcPr>
            <w:tcW w:w="1134" w:type="dxa"/>
          </w:tcPr>
          <w:p w14:paraId="374AD4AA" w14:textId="77777777" w:rsidR="00F767DC" w:rsidRDefault="00F767DC" w:rsidP="00F767DC">
            <w:pPr>
              <w:spacing w:line="276" w:lineRule="auto"/>
              <w:rPr>
                <w:color w:val="FF0000"/>
              </w:rPr>
            </w:pPr>
            <w:r w:rsidRPr="00C34CC4">
              <w:t>Mobile</w:t>
            </w:r>
          </w:p>
        </w:tc>
        <w:tc>
          <w:tcPr>
            <w:tcW w:w="1276" w:type="dxa"/>
          </w:tcPr>
          <w:p w14:paraId="4CCD54C0" w14:textId="77777777" w:rsidR="00F767DC" w:rsidRDefault="00F767DC" w:rsidP="00F767DC">
            <w:pPr>
              <w:spacing w:line="276" w:lineRule="auto"/>
              <w:rPr>
                <w:color w:val="FF0000"/>
              </w:rPr>
            </w:pPr>
            <w:r w:rsidRPr="00830B05">
              <w:t>0</w:t>
            </w:r>
          </w:p>
        </w:tc>
        <w:tc>
          <w:tcPr>
            <w:tcW w:w="992" w:type="dxa"/>
          </w:tcPr>
          <w:p w14:paraId="7C391F2A" w14:textId="77777777" w:rsidR="00F767DC" w:rsidRDefault="00F767DC" w:rsidP="00F767DC">
            <w:pPr>
              <w:spacing w:line="276" w:lineRule="auto"/>
              <w:rPr>
                <w:color w:val="FF0000"/>
              </w:rPr>
            </w:pPr>
            <w:r w:rsidRPr="00672C93">
              <w:t>0</w:t>
            </w:r>
          </w:p>
        </w:tc>
        <w:tc>
          <w:tcPr>
            <w:tcW w:w="1134" w:type="dxa"/>
          </w:tcPr>
          <w:p w14:paraId="366D9129" w14:textId="77777777" w:rsidR="00F767DC" w:rsidRDefault="00F767DC" w:rsidP="00F767DC">
            <w:pPr>
              <w:spacing w:line="276" w:lineRule="auto"/>
              <w:rPr>
                <w:color w:val="FF0000"/>
              </w:rPr>
            </w:pPr>
            <w:r w:rsidRPr="00BB77E8">
              <w:t>0</w:t>
            </w:r>
          </w:p>
        </w:tc>
      </w:tr>
      <w:tr w:rsidR="00F767DC" w14:paraId="4A2C5879" w14:textId="77777777" w:rsidTr="00F767DC">
        <w:tc>
          <w:tcPr>
            <w:tcW w:w="5382" w:type="dxa"/>
          </w:tcPr>
          <w:p w14:paraId="0DFA4976" w14:textId="2EBAC90D" w:rsidR="00F767DC" w:rsidRPr="00017D22" w:rsidRDefault="00F767DC" w:rsidP="00F767DC">
            <w:pPr>
              <w:spacing w:line="276" w:lineRule="auto"/>
              <w:rPr>
                <w:color w:val="000000" w:themeColor="text1"/>
              </w:rPr>
            </w:pPr>
            <w:r w:rsidRPr="00017D22">
              <w:rPr>
                <w:color w:val="000000" w:themeColor="text1"/>
              </w:rPr>
              <w:t>A77 Bogend to Ardwell Bay System</w:t>
            </w:r>
          </w:p>
        </w:tc>
        <w:tc>
          <w:tcPr>
            <w:tcW w:w="1134" w:type="dxa"/>
          </w:tcPr>
          <w:p w14:paraId="55E0E518" w14:textId="28BE1AF4" w:rsidR="00F767DC" w:rsidRPr="00017D22" w:rsidRDefault="00F767DC" w:rsidP="00F767DC">
            <w:pPr>
              <w:spacing w:line="276" w:lineRule="auto"/>
              <w:rPr>
                <w:color w:val="000000" w:themeColor="text1"/>
              </w:rPr>
            </w:pPr>
            <w:r w:rsidRPr="00017D22">
              <w:rPr>
                <w:color w:val="000000" w:themeColor="text1"/>
              </w:rPr>
              <w:t xml:space="preserve">Average </w:t>
            </w:r>
          </w:p>
        </w:tc>
        <w:tc>
          <w:tcPr>
            <w:tcW w:w="1276" w:type="dxa"/>
          </w:tcPr>
          <w:p w14:paraId="2FC1B086" w14:textId="77777777" w:rsidR="00F767DC" w:rsidRDefault="00F767DC" w:rsidP="00F767DC">
            <w:pPr>
              <w:spacing w:line="276" w:lineRule="auto"/>
              <w:rPr>
                <w:color w:val="FF0000"/>
              </w:rPr>
            </w:pPr>
            <w:r w:rsidRPr="00830B05">
              <w:t>1,421</w:t>
            </w:r>
          </w:p>
        </w:tc>
        <w:tc>
          <w:tcPr>
            <w:tcW w:w="992" w:type="dxa"/>
          </w:tcPr>
          <w:p w14:paraId="349DC040" w14:textId="77777777" w:rsidR="00F767DC" w:rsidRDefault="00F767DC" w:rsidP="00F767DC">
            <w:pPr>
              <w:spacing w:line="276" w:lineRule="auto"/>
              <w:rPr>
                <w:color w:val="FF0000"/>
              </w:rPr>
            </w:pPr>
            <w:r w:rsidRPr="00672C93">
              <w:t>109</w:t>
            </w:r>
          </w:p>
        </w:tc>
        <w:tc>
          <w:tcPr>
            <w:tcW w:w="1134" w:type="dxa"/>
          </w:tcPr>
          <w:p w14:paraId="22E51A3D" w14:textId="77777777" w:rsidR="00F767DC" w:rsidRDefault="00F767DC" w:rsidP="00F767DC">
            <w:pPr>
              <w:spacing w:line="276" w:lineRule="auto"/>
              <w:rPr>
                <w:color w:val="FF0000"/>
              </w:rPr>
            </w:pPr>
            <w:r w:rsidRPr="00BB77E8">
              <w:t>1,027</w:t>
            </w:r>
          </w:p>
        </w:tc>
      </w:tr>
    </w:tbl>
    <w:p w14:paraId="0925ED00" w14:textId="77777777" w:rsidR="00F767DC" w:rsidRDefault="00F767DC" w:rsidP="0094654B">
      <w:pPr>
        <w:tabs>
          <w:tab w:val="left" w:pos="5400"/>
        </w:tabs>
      </w:pPr>
    </w:p>
    <w:p w14:paraId="6F1678A5" w14:textId="77777777" w:rsidR="00F767DC" w:rsidRPr="00F767DC" w:rsidRDefault="00F767DC" w:rsidP="00F767DC">
      <w:r>
        <w:t>Data is taken from a live system which is subject to change and correct as of 14/05/2024.</w:t>
      </w:r>
    </w:p>
    <w:p w14:paraId="35DD948F" w14:textId="2A505FD6" w:rsidR="00644B18" w:rsidRPr="00AD1B00" w:rsidRDefault="00F767DC" w:rsidP="00644B18">
      <w:pPr>
        <w:tabs>
          <w:tab w:val="left" w:pos="5400"/>
        </w:tabs>
        <w:rPr>
          <w:rFonts w:eastAsiaTheme="majorEastAsia" w:cstheme="majorBidi"/>
          <w:bCs/>
          <w:color w:val="000000" w:themeColor="text1"/>
          <w:szCs w:val="26"/>
        </w:rPr>
      </w:pPr>
      <w:r>
        <w:t>Information regarding</w:t>
      </w:r>
      <w:r w:rsidR="00644B18">
        <w:t xml:space="preserve"> the slowest speeds detected </w:t>
      </w:r>
      <w:r>
        <w:t xml:space="preserve">at each location </w:t>
      </w:r>
      <w:r w:rsidR="00644B18">
        <w:t>is held by Police Scotland, but I am refusing to provide it in terms of s</w:t>
      </w:r>
      <w:r w:rsidR="00644B18" w:rsidRPr="00453F0A">
        <w:t>ection 16</w:t>
      </w:r>
      <w:r w:rsidR="00644B18">
        <w:t>(1) of the Act on the basis that the following exemptions apply:</w:t>
      </w:r>
    </w:p>
    <w:p w14:paraId="109914C8" w14:textId="77777777" w:rsidR="00644B18" w:rsidRPr="00E94073" w:rsidRDefault="00644B18" w:rsidP="00644B18">
      <w:pPr>
        <w:rPr>
          <w:bCs/>
          <w:i/>
          <w:iCs/>
        </w:rPr>
      </w:pPr>
      <w:r w:rsidRPr="00E94073">
        <w:rPr>
          <w:bCs/>
          <w:i/>
          <w:iCs/>
        </w:rPr>
        <w:t xml:space="preserve">Section 35(1)(a)&amp;(b) - Law Enforcement </w:t>
      </w:r>
    </w:p>
    <w:p w14:paraId="5BBF0689" w14:textId="3DA90374" w:rsidR="00644B18" w:rsidRPr="008633B8" w:rsidRDefault="00644B18" w:rsidP="00644B18">
      <w:r>
        <w:t>Disclosure</w:t>
      </w:r>
      <w:r w:rsidRPr="008633B8">
        <w:t xml:space="preserve"> would </w:t>
      </w:r>
      <w:r>
        <w:t>substantially</w:t>
      </w:r>
      <w:r w:rsidRPr="008633B8">
        <w:t xml:space="preserve"> prejudice the prevention and detection of crime and the apprehension or prosecution of offenders</w:t>
      </w:r>
      <w:r w:rsidR="00A23468">
        <w:t xml:space="preserve"> by disclosing the enforcement threshold above the speed limit at which offences will be triggered.</w:t>
      </w:r>
    </w:p>
    <w:p w14:paraId="4A6A935B" w14:textId="77777777" w:rsidR="00644B18" w:rsidRPr="00E94073" w:rsidRDefault="00644B18" w:rsidP="00644B18">
      <w:pPr>
        <w:rPr>
          <w:bCs/>
          <w:i/>
          <w:iCs/>
        </w:rPr>
      </w:pPr>
      <w:r w:rsidRPr="00E94073">
        <w:rPr>
          <w:bCs/>
          <w:i/>
          <w:iCs/>
        </w:rPr>
        <w:t xml:space="preserve">Section 39(1) - Health, Safety and the Environment </w:t>
      </w:r>
    </w:p>
    <w:p w14:paraId="75A3DEE0" w14:textId="77777777" w:rsidR="00644B18" w:rsidRPr="008633B8" w:rsidRDefault="00644B18" w:rsidP="00644B18">
      <w:r>
        <w:t>D</w:t>
      </w:r>
      <w:r w:rsidRPr="008633B8">
        <w:t>isclosure would or would be likely to endanger the physical health or safety of an individual</w:t>
      </w:r>
      <w:r>
        <w:t xml:space="preserve"> by</w:t>
      </w:r>
      <w:r w:rsidRPr="008633B8">
        <w:t xml:space="preserve"> encourag</w:t>
      </w:r>
      <w:r>
        <w:t>ing</w:t>
      </w:r>
      <w:r w:rsidRPr="008633B8">
        <w:t xml:space="preserve"> road users to commit offences, thereby endangering other road users and pedestrians and render</w:t>
      </w:r>
      <w:r>
        <w:t>ing</w:t>
      </w:r>
      <w:r w:rsidRPr="008633B8">
        <w:t xml:space="preserve"> speed enforcement ineffective as a</w:t>
      </w:r>
      <w:r>
        <w:t xml:space="preserve"> preventative</w:t>
      </w:r>
      <w:r w:rsidRPr="008633B8">
        <w:t xml:space="preserve"> road safety measure. </w:t>
      </w:r>
    </w:p>
    <w:p w14:paraId="2AAA28E5" w14:textId="77777777" w:rsidR="00644B18" w:rsidRPr="00E94073" w:rsidRDefault="00644B18" w:rsidP="00644B18">
      <w:pPr>
        <w:rPr>
          <w:bCs/>
          <w:i/>
          <w:iCs/>
        </w:rPr>
      </w:pPr>
      <w:r w:rsidRPr="00E94073">
        <w:rPr>
          <w:bCs/>
          <w:i/>
          <w:iCs/>
        </w:rPr>
        <w:t xml:space="preserve">Public Interest Test </w:t>
      </w:r>
    </w:p>
    <w:p w14:paraId="70061EEE" w14:textId="05B0BE88" w:rsidR="00644B18" w:rsidRDefault="00644B18" w:rsidP="00644B18">
      <w:r w:rsidRPr="008633B8">
        <w:t xml:space="preserve">It could be argued that public awareness and accountability would favour disclosure. That said, </w:t>
      </w:r>
      <w:r w:rsidR="00125B85">
        <w:t xml:space="preserve">if the speed thresholds were known it would prevent </w:t>
      </w:r>
      <w:r w:rsidRPr="008633B8">
        <w:t xml:space="preserve">the efficient/ effective conduct of Police Scotland and </w:t>
      </w:r>
      <w:r w:rsidR="00125B85">
        <w:t xml:space="preserve">therefore for </w:t>
      </w:r>
      <w:r w:rsidRPr="008633B8">
        <w:t>overall public safety non-disclosure of the information</w:t>
      </w:r>
      <w:r w:rsidR="00125B85">
        <w:t xml:space="preserve"> is essential</w:t>
      </w:r>
      <w:r w:rsidRPr="008633B8">
        <w:t xml:space="preserve">. </w:t>
      </w:r>
    </w:p>
    <w:p w14:paraId="359E3B0F" w14:textId="77777777" w:rsidR="00F767DC" w:rsidRPr="00644B18" w:rsidRDefault="00F767DC" w:rsidP="00644B18"/>
    <w:p w14:paraId="54ED00BC" w14:textId="342FFC91" w:rsidR="00120FF0" w:rsidRDefault="00120FF0" w:rsidP="00120FF0">
      <w:pPr>
        <w:pStyle w:val="Heading2"/>
        <w:rPr>
          <w:rFonts w:eastAsia="Times New Roman"/>
        </w:rPr>
      </w:pPr>
      <w:r>
        <w:rPr>
          <w:rFonts w:eastAsia="Times New Roman"/>
        </w:rPr>
        <w:lastRenderedPageBreak/>
        <w:t>Finally, I request that data is provided relating to total penalty points handed out due to speeding offences at each location – and a total of the penalty fines handed out for the same at each location.</w:t>
      </w:r>
    </w:p>
    <w:p w14:paraId="1B1AFE50" w14:textId="472A99F8" w:rsidR="00F767DC" w:rsidRDefault="004F75B3" w:rsidP="004F75B3">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r w:rsidR="00F767DC">
        <w:rPr>
          <w:rFonts w:eastAsiaTheme="majorEastAsia" w:cstheme="majorBidi"/>
          <w:bCs/>
          <w:color w:val="000000" w:themeColor="text1"/>
          <w:szCs w:val="26"/>
        </w:rPr>
        <w:t xml:space="preserve">  </w:t>
      </w:r>
      <w:r>
        <w:rPr>
          <w:rFonts w:eastAsiaTheme="majorEastAsia" w:cstheme="majorBidi"/>
          <w:bCs/>
          <w:color w:val="000000" w:themeColor="text1"/>
          <w:szCs w:val="26"/>
        </w:rPr>
        <w:t xml:space="preserve">By way of explanation Police Scotland do not hold records based on total points. </w:t>
      </w:r>
    </w:p>
    <w:p w14:paraId="23AFAE6D" w14:textId="48FD07B0" w:rsidR="00F767DC" w:rsidRDefault="00F767DC" w:rsidP="004F75B3">
      <w:pPr>
        <w:tabs>
          <w:tab w:val="left" w:pos="5400"/>
        </w:tabs>
      </w:pPr>
      <w:r>
        <w:rPr>
          <w:rFonts w:eastAsiaTheme="majorEastAsia" w:cstheme="majorBidi"/>
          <w:bCs/>
          <w:color w:val="000000" w:themeColor="text1"/>
          <w:szCs w:val="26"/>
        </w:rPr>
        <w:t>To be of assistance, data regarding</w:t>
      </w:r>
      <w:r w:rsidR="004F75B3">
        <w:t xml:space="preserve"> Conditional Fixed Penalty Notices (COFP</w:t>
      </w:r>
      <w:r>
        <w:t>N</w:t>
      </w:r>
      <w:r w:rsidR="004F75B3">
        <w:t xml:space="preserve">) issued are included in the table </w:t>
      </w:r>
      <w:r>
        <w:t>above</w:t>
      </w:r>
      <w:r w:rsidR="004F75B3">
        <w:t xml:space="preserve">. </w:t>
      </w:r>
    </w:p>
    <w:p w14:paraId="73DF58C3" w14:textId="6B93E471" w:rsidR="00880890" w:rsidRDefault="004F75B3" w:rsidP="004F75B3">
      <w:pPr>
        <w:tabs>
          <w:tab w:val="left" w:pos="5400"/>
        </w:tabs>
      </w:pPr>
      <w:r>
        <w:t xml:space="preserve">Please note that each </w:t>
      </w:r>
      <w:r w:rsidRPr="004F75B3">
        <w:t xml:space="preserve">Conditional Offer of Fixed Penalty </w:t>
      </w:r>
      <w:r>
        <w:t xml:space="preserve">notice </w:t>
      </w:r>
      <w:r w:rsidRPr="004F75B3">
        <w:t>equate</w:t>
      </w:r>
      <w:r>
        <w:t>s</w:t>
      </w:r>
      <w:r w:rsidRPr="004F75B3">
        <w:t xml:space="preserve"> to 3 penalty points being endorsed on the driver’s licence and a £100 fine</w:t>
      </w:r>
      <w:r w:rsidRPr="004F75B3">
        <w:rPr>
          <w:rFonts w:eastAsia="Times New Roman"/>
        </w:rPr>
        <w:t>.</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5EC903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087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92D5A7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087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C55F2D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087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2244C6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087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B0B506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087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1F6871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8087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437"/>
    <w:multiLevelType w:val="multilevel"/>
    <w:tmpl w:val="8B50D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26C7E"/>
    <w:multiLevelType w:val="hybridMultilevel"/>
    <w:tmpl w:val="3CF27880"/>
    <w:lvl w:ilvl="0" w:tplc="214CAD76">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76C7380"/>
    <w:multiLevelType w:val="hybridMultilevel"/>
    <w:tmpl w:val="97589E96"/>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F0096C"/>
    <w:multiLevelType w:val="hybridMultilevel"/>
    <w:tmpl w:val="CE4A7728"/>
    <w:lvl w:ilvl="0" w:tplc="745454E2">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F545BCF"/>
    <w:multiLevelType w:val="hybridMultilevel"/>
    <w:tmpl w:val="B3FE93A4"/>
    <w:lvl w:ilvl="0" w:tplc="08090001">
      <w:start w:val="1"/>
      <w:numFmt w:val="bullet"/>
      <w:lvlText w:val=""/>
      <w:lvlJc w:val="left"/>
      <w:pPr>
        <w:ind w:left="360" w:hanging="360"/>
      </w:pPr>
      <w:rPr>
        <w:rFonts w:ascii="Symbol" w:hAnsi="Symbol" w:hint="default"/>
      </w:rPr>
    </w:lvl>
    <w:lvl w:ilvl="1" w:tplc="8F66BF44">
      <w:numFmt w:val="bullet"/>
      <w:lvlText w:val="•"/>
      <w:lvlJc w:val="left"/>
      <w:pPr>
        <w:ind w:left="1440" w:hanging="7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056036D"/>
    <w:multiLevelType w:val="multilevel"/>
    <w:tmpl w:val="44C8F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027281"/>
    <w:multiLevelType w:val="multilevel"/>
    <w:tmpl w:val="34EA8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6C075B"/>
    <w:multiLevelType w:val="multilevel"/>
    <w:tmpl w:val="D25EF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DD39A7"/>
    <w:multiLevelType w:val="hybridMultilevel"/>
    <w:tmpl w:val="7A5C8B48"/>
    <w:lvl w:ilvl="0" w:tplc="C800530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9"/>
  </w:num>
  <w:num w:numId="2" w16cid:durableId="2116710830">
    <w:abstractNumId w:val="6"/>
  </w:num>
  <w:num w:numId="3" w16cid:durableId="168443845">
    <w:abstractNumId w:val="0"/>
  </w:num>
  <w:num w:numId="4" w16cid:durableId="1068456214">
    <w:abstractNumId w:val="7"/>
  </w:num>
  <w:num w:numId="5" w16cid:durableId="1453480220">
    <w:abstractNumId w:val="5"/>
  </w:num>
  <w:num w:numId="6" w16cid:durableId="1800996679">
    <w:abstractNumId w:val="8"/>
  </w:num>
  <w:num w:numId="7" w16cid:durableId="2015062047">
    <w:abstractNumId w:val="3"/>
  </w:num>
  <w:num w:numId="8" w16cid:durableId="992299751">
    <w:abstractNumId w:val="1"/>
  </w:num>
  <w:num w:numId="9" w16cid:durableId="451215868">
    <w:abstractNumId w:val="4"/>
  </w:num>
  <w:num w:numId="10" w16cid:durableId="2187092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50E2"/>
    <w:rsid w:val="00090F3B"/>
    <w:rsid w:val="000E2F19"/>
    <w:rsid w:val="000E6526"/>
    <w:rsid w:val="000F1251"/>
    <w:rsid w:val="00120FF0"/>
    <w:rsid w:val="00125B85"/>
    <w:rsid w:val="00141533"/>
    <w:rsid w:val="00167528"/>
    <w:rsid w:val="00195CC4"/>
    <w:rsid w:val="00207326"/>
    <w:rsid w:val="00253DF6"/>
    <w:rsid w:val="00255F1E"/>
    <w:rsid w:val="0028087A"/>
    <w:rsid w:val="002975B5"/>
    <w:rsid w:val="0036503B"/>
    <w:rsid w:val="003D6D03"/>
    <w:rsid w:val="003E12CA"/>
    <w:rsid w:val="004010DC"/>
    <w:rsid w:val="004341F0"/>
    <w:rsid w:val="00454EF5"/>
    <w:rsid w:val="00456324"/>
    <w:rsid w:val="00475460"/>
    <w:rsid w:val="00490317"/>
    <w:rsid w:val="00491644"/>
    <w:rsid w:val="00496A08"/>
    <w:rsid w:val="004E1605"/>
    <w:rsid w:val="004F653C"/>
    <w:rsid w:val="004F75B3"/>
    <w:rsid w:val="00540A52"/>
    <w:rsid w:val="00557306"/>
    <w:rsid w:val="005E2AB0"/>
    <w:rsid w:val="00644B18"/>
    <w:rsid w:val="00645CFA"/>
    <w:rsid w:val="006D5799"/>
    <w:rsid w:val="00750D83"/>
    <w:rsid w:val="00785DBC"/>
    <w:rsid w:val="00793DD5"/>
    <w:rsid w:val="007B009D"/>
    <w:rsid w:val="007C1AAA"/>
    <w:rsid w:val="007D55F6"/>
    <w:rsid w:val="007F490F"/>
    <w:rsid w:val="0086779C"/>
    <w:rsid w:val="00874BFD"/>
    <w:rsid w:val="00880890"/>
    <w:rsid w:val="008964EF"/>
    <w:rsid w:val="008C7210"/>
    <w:rsid w:val="00915E01"/>
    <w:rsid w:val="0094654B"/>
    <w:rsid w:val="009631A4"/>
    <w:rsid w:val="00977296"/>
    <w:rsid w:val="00A23468"/>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CF291E"/>
    <w:rsid w:val="00D05706"/>
    <w:rsid w:val="00D27DC5"/>
    <w:rsid w:val="00D331B7"/>
    <w:rsid w:val="00D47E36"/>
    <w:rsid w:val="00E55D79"/>
    <w:rsid w:val="00E94073"/>
    <w:rsid w:val="00EE2373"/>
    <w:rsid w:val="00EF4761"/>
    <w:rsid w:val="00F21D44"/>
    <w:rsid w:val="00F767DC"/>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94654B"/>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844326">
      <w:bodyDiv w:val="1"/>
      <w:marLeft w:val="0"/>
      <w:marRight w:val="0"/>
      <w:marTop w:val="0"/>
      <w:marBottom w:val="0"/>
      <w:divBdr>
        <w:top w:val="none" w:sz="0" w:space="0" w:color="auto"/>
        <w:left w:val="none" w:sz="0" w:space="0" w:color="auto"/>
        <w:bottom w:val="none" w:sz="0" w:space="0" w:color="auto"/>
        <w:right w:val="none" w:sz="0" w:space="0" w:color="auto"/>
      </w:divBdr>
    </w:div>
    <w:div w:id="857743069">
      <w:bodyDiv w:val="1"/>
      <w:marLeft w:val="0"/>
      <w:marRight w:val="0"/>
      <w:marTop w:val="0"/>
      <w:marBottom w:val="0"/>
      <w:divBdr>
        <w:top w:val="none" w:sz="0" w:space="0" w:color="auto"/>
        <w:left w:val="none" w:sz="0" w:space="0" w:color="auto"/>
        <w:bottom w:val="none" w:sz="0" w:space="0" w:color="auto"/>
        <w:right w:val="none" w:sz="0" w:space="0" w:color="auto"/>
      </w:divBdr>
    </w:div>
    <w:div w:id="1021323884">
      <w:bodyDiv w:val="1"/>
      <w:marLeft w:val="0"/>
      <w:marRight w:val="0"/>
      <w:marTop w:val="0"/>
      <w:marBottom w:val="0"/>
      <w:divBdr>
        <w:top w:val="none" w:sz="0" w:space="0" w:color="auto"/>
        <w:left w:val="none" w:sz="0" w:space="0" w:color="auto"/>
        <w:bottom w:val="none" w:sz="0" w:space="0" w:color="auto"/>
        <w:right w:val="none" w:sz="0" w:space="0" w:color="auto"/>
      </w:divBdr>
    </w:div>
    <w:div w:id="1621767951">
      <w:bodyDiv w:val="1"/>
      <w:marLeft w:val="0"/>
      <w:marRight w:val="0"/>
      <w:marTop w:val="0"/>
      <w:marBottom w:val="0"/>
      <w:divBdr>
        <w:top w:val="none" w:sz="0" w:space="0" w:color="auto"/>
        <w:left w:val="none" w:sz="0" w:space="0" w:color="auto"/>
        <w:bottom w:val="none" w:sz="0" w:space="0" w:color="auto"/>
        <w:right w:val="none" w:sz="0" w:space="0" w:color="auto"/>
      </w:divBdr>
    </w:div>
    <w:div w:id="198161882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1015</Words>
  <Characters>5788</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2024-05-27T14:14:00Z</dcterms:created>
  <dcterms:modified xsi:type="dcterms:W3CDTF">2024-05-27T14:16:00Z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