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C3F93E1" w:rsidR="00B17211" w:rsidRPr="00B17211" w:rsidRDefault="00B17211" w:rsidP="007F490F">
            <w:r w:rsidRPr="007F490F">
              <w:rPr>
                <w:rStyle w:val="Heading2Char"/>
              </w:rPr>
              <w:t>Our reference:</w:t>
            </w:r>
            <w:r>
              <w:t xml:space="preserve">  FOI 2</w:t>
            </w:r>
            <w:r w:rsidR="00EF0FBB">
              <w:t>5</w:t>
            </w:r>
            <w:r>
              <w:t>-</w:t>
            </w:r>
            <w:r w:rsidR="00CB2B11">
              <w:t>1964</w:t>
            </w:r>
          </w:p>
          <w:p w14:paraId="34BDABA6" w14:textId="793DC6B9" w:rsidR="00B17211" w:rsidRDefault="00456324" w:rsidP="00EE2373">
            <w:r w:rsidRPr="007F490F">
              <w:rPr>
                <w:rStyle w:val="Heading2Char"/>
              </w:rPr>
              <w:t>Respon</w:t>
            </w:r>
            <w:r w:rsidR="007D55F6">
              <w:rPr>
                <w:rStyle w:val="Heading2Char"/>
              </w:rPr>
              <w:t>ded to:</w:t>
            </w:r>
            <w:r w:rsidR="007F490F">
              <w:t xml:space="preserve">  </w:t>
            </w:r>
            <w:r w:rsidR="00714C87">
              <w:t>11</w:t>
            </w:r>
            <w:r w:rsidR="006D5799">
              <w:t xml:space="preserve"> </w:t>
            </w:r>
            <w:r w:rsidR="00184727">
              <w:t>August</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05C2DE9C" w14:textId="3B611795" w:rsidR="00CB2B11" w:rsidRDefault="00CB2B11" w:rsidP="009D2AA5">
      <w:pPr>
        <w:tabs>
          <w:tab w:val="left" w:pos="5400"/>
        </w:tabs>
        <w:rPr>
          <w:rFonts w:eastAsiaTheme="majorEastAsia" w:cstheme="majorBidi"/>
          <w:b/>
          <w:color w:val="000000" w:themeColor="text1"/>
          <w:szCs w:val="26"/>
        </w:rPr>
      </w:pPr>
      <w:r w:rsidRPr="00CB2B11">
        <w:rPr>
          <w:rFonts w:eastAsiaTheme="majorEastAsia" w:cstheme="majorBidi"/>
          <w:b/>
          <w:color w:val="000000" w:themeColor="text1"/>
          <w:szCs w:val="26"/>
        </w:rPr>
        <w:t>Since 2018 to date, where a PSD regulation 10 assessment has resulted in a misconduct or gross misconduct investigation for police officers alleged to have breached data protection, what is the length of each investigation?</w:t>
      </w:r>
    </w:p>
    <w:p w14:paraId="632F2C40" w14:textId="2C5A2A4A" w:rsidR="00714C87" w:rsidRDefault="00714C87" w:rsidP="00714C87">
      <w:pPr>
        <w:tabs>
          <w:tab w:val="left" w:pos="5400"/>
        </w:tabs>
      </w:pPr>
      <w:r>
        <w:t xml:space="preserve">The formal conduct process for Police Officers is governed by </w:t>
      </w:r>
      <w:hyperlink r:id="rId11" w:history="1">
        <w:r w:rsidRPr="00714C87">
          <w:rPr>
            <w:rStyle w:val="Hyperlink"/>
          </w:rPr>
          <w:t>The Police Service of Scotland (Conduct) Regulations 2014</w:t>
        </w:r>
      </w:hyperlink>
      <w:r>
        <w:t xml:space="preserve">.  The associated </w:t>
      </w:r>
      <w:hyperlink r:id="rId12" w:history="1">
        <w:r w:rsidRPr="00714C87">
          <w:rPr>
            <w:rStyle w:val="Hyperlink"/>
          </w:rPr>
          <w:t>Scottish Government Guidance Document</w:t>
        </w:r>
      </w:hyperlink>
      <w:r w:rsidRPr="00714C87">
        <w:t xml:space="preserve"> </w:t>
      </w:r>
      <w:r>
        <w:t xml:space="preserve">further details the process and conduct cases are categorised in line with our </w:t>
      </w:r>
      <w:hyperlink r:id="rId13" w:history="1">
        <w:r w:rsidRPr="00714C87">
          <w:rPr>
            <w:rStyle w:val="Hyperlink"/>
          </w:rPr>
          <w:t>Standards of Professional Behaviour</w:t>
        </w:r>
      </w:hyperlink>
      <w:r w:rsidRPr="00714C87">
        <w:t>.</w:t>
      </w:r>
    </w:p>
    <w:p w14:paraId="5B61B837" w14:textId="77777777" w:rsidR="00EE046E" w:rsidRDefault="00714C87" w:rsidP="00714C87">
      <w:pPr>
        <w:tabs>
          <w:tab w:val="left" w:pos="5400"/>
        </w:tabs>
      </w:pPr>
      <w:r>
        <w:t xml:space="preserve">Figures provided below detail the average number of days between the Regulation 11 notice of investigation and the Regulation 13 Investigator’s report completed date, for subject officers linked to an allegation involving a data protection circumstance and subject to a Regulation 10 </w:t>
      </w:r>
      <w:r w:rsidR="00EE046E">
        <w:t>(</w:t>
      </w:r>
      <w:r>
        <w:t>of the Police Service of Scotland (Conduct) Regulations 2014</w:t>
      </w:r>
      <w:r w:rsidR="00EE046E">
        <w:t>)</w:t>
      </w:r>
      <w:r>
        <w:t xml:space="preserve"> preliminary assessment for these allegations. </w:t>
      </w:r>
    </w:p>
    <w:p w14:paraId="4E015532" w14:textId="0A7FD45D" w:rsidR="00714C87" w:rsidRDefault="00714C87" w:rsidP="00714C87">
      <w:pPr>
        <w:tabs>
          <w:tab w:val="left" w:pos="5400"/>
        </w:tabs>
      </w:pPr>
      <w:r>
        <w:t xml:space="preserve">A total of 23 preliminary assessments </w:t>
      </w:r>
      <w:r w:rsidR="00EE046E">
        <w:t>(</w:t>
      </w:r>
      <w:r>
        <w:t>01/01/2018 – 26/06/2025 inclusive</w:t>
      </w:r>
      <w:r w:rsidR="00EE046E">
        <w:t>)</w:t>
      </w:r>
      <w:r>
        <w:t xml:space="preserve"> included an allegation involving a data protection circumstance and resulted in a concluded misconduct investigation. This data is based on a snapshot and is correct as at 01/07/2025. </w:t>
      </w:r>
    </w:p>
    <w:p w14:paraId="34BDABAA" w14:textId="1EC61096" w:rsidR="00496A08" w:rsidRDefault="00714C87" w:rsidP="00714C87">
      <w:pPr>
        <w:tabs>
          <w:tab w:val="left" w:pos="5400"/>
        </w:tabs>
      </w:pPr>
      <w:r>
        <w:t>The average length of misconduct investigation was 97 days.</w:t>
      </w:r>
    </w:p>
    <w:tbl>
      <w:tblPr>
        <w:tblStyle w:val="TableGrid"/>
        <w:tblW w:w="0" w:type="auto"/>
        <w:tblLook w:val="04A0" w:firstRow="1" w:lastRow="0" w:firstColumn="1" w:lastColumn="0" w:noHBand="0" w:noVBand="1"/>
        <w:tblCaption w:val="Example table"/>
        <w:tblDescription w:val="Example table"/>
      </w:tblPr>
      <w:tblGrid>
        <w:gridCol w:w="2057"/>
        <w:gridCol w:w="3097"/>
      </w:tblGrid>
      <w:tr w:rsidR="00714C87" w:rsidRPr="00557306" w14:paraId="34BDABB1" w14:textId="77777777" w:rsidTr="00714C87">
        <w:trPr>
          <w:tblHeader/>
        </w:trPr>
        <w:tc>
          <w:tcPr>
            <w:tcW w:w="0" w:type="auto"/>
            <w:shd w:val="clear" w:color="auto" w:fill="D9D9D9" w:themeFill="background1" w:themeFillShade="D9"/>
          </w:tcPr>
          <w:p w14:paraId="34BDABAC" w14:textId="4796C29C" w:rsidR="00714C87" w:rsidRPr="00557306" w:rsidRDefault="00714C87" w:rsidP="009D2AA5">
            <w:pPr>
              <w:spacing w:line="240" w:lineRule="auto"/>
              <w:rPr>
                <w:b/>
              </w:rPr>
            </w:pPr>
            <w:r>
              <w:rPr>
                <w:b/>
              </w:rPr>
              <w:t>Number of Days</w:t>
            </w:r>
          </w:p>
        </w:tc>
        <w:tc>
          <w:tcPr>
            <w:tcW w:w="0" w:type="auto"/>
            <w:shd w:val="clear" w:color="auto" w:fill="D9D9D9" w:themeFill="background1" w:themeFillShade="D9"/>
          </w:tcPr>
          <w:p w14:paraId="34BDABAD" w14:textId="68CC8F83" w:rsidR="00714C87" w:rsidRPr="00557306" w:rsidRDefault="00714C87" w:rsidP="009D2AA5">
            <w:pPr>
              <w:spacing w:line="240" w:lineRule="auto"/>
              <w:rPr>
                <w:b/>
              </w:rPr>
            </w:pPr>
            <w:r>
              <w:rPr>
                <w:b/>
              </w:rPr>
              <w:t>Number of Investigations</w:t>
            </w:r>
          </w:p>
        </w:tc>
      </w:tr>
      <w:tr w:rsidR="00714C87" w14:paraId="34BDABB7" w14:textId="77777777" w:rsidTr="00714C87">
        <w:tc>
          <w:tcPr>
            <w:tcW w:w="0" w:type="auto"/>
          </w:tcPr>
          <w:p w14:paraId="34BDABB2" w14:textId="4C6F5997" w:rsidR="00714C87" w:rsidRDefault="00714C87" w:rsidP="009D2AA5">
            <w:pPr>
              <w:tabs>
                <w:tab w:val="left" w:pos="5400"/>
              </w:tabs>
              <w:spacing w:line="240" w:lineRule="auto"/>
            </w:pPr>
            <w:r>
              <w:t>0-50</w:t>
            </w:r>
          </w:p>
        </w:tc>
        <w:tc>
          <w:tcPr>
            <w:tcW w:w="0" w:type="auto"/>
          </w:tcPr>
          <w:p w14:paraId="34BDABB3" w14:textId="45652CE1" w:rsidR="00714C87" w:rsidRDefault="00714C87" w:rsidP="00714C87">
            <w:pPr>
              <w:tabs>
                <w:tab w:val="left" w:pos="5400"/>
              </w:tabs>
              <w:spacing w:line="240" w:lineRule="auto"/>
              <w:jc w:val="right"/>
            </w:pPr>
            <w:r>
              <w:t>4</w:t>
            </w:r>
          </w:p>
        </w:tc>
      </w:tr>
      <w:tr w:rsidR="00714C87" w14:paraId="4E43EB50" w14:textId="77777777" w:rsidTr="00714C87">
        <w:tc>
          <w:tcPr>
            <w:tcW w:w="0" w:type="auto"/>
          </w:tcPr>
          <w:p w14:paraId="34F5A9F2" w14:textId="75A6D46C" w:rsidR="00714C87" w:rsidRDefault="00714C87" w:rsidP="009D2AA5">
            <w:pPr>
              <w:tabs>
                <w:tab w:val="left" w:pos="5400"/>
              </w:tabs>
              <w:spacing w:line="240" w:lineRule="auto"/>
            </w:pPr>
            <w:r>
              <w:t>51-100</w:t>
            </w:r>
          </w:p>
        </w:tc>
        <w:tc>
          <w:tcPr>
            <w:tcW w:w="0" w:type="auto"/>
          </w:tcPr>
          <w:p w14:paraId="4F857770" w14:textId="68878107" w:rsidR="00714C87" w:rsidRDefault="00714C87" w:rsidP="00714C87">
            <w:pPr>
              <w:tabs>
                <w:tab w:val="left" w:pos="5400"/>
              </w:tabs>
              <w:spacing w:line="240" w:lineRule="auto"/>
              <w:jc w:val="right"/>
            </w:pPr>
            <w:r>
              <w:t>11</w:t>
            </w:r>
          </w:p>
        </w:tc>
      </w:tr>
      <w:tr w:rsidR="00714C87" w14:paraId="0B2145C6" w14:textId="77777777" w:rsidTr="00714C87">
        <w:tc>
          <w:tcPr>
            <w:tcW w:w="0" w:type="auto"/>
          </w:tcPr>
          <w:p w14:paraId="2BB0AC8C" w14:textId="6F353D05" w:rsidR="00714C87" w:rsidRDefault="00714C87" w:rsidP="009D2AA5">
            <w:pPr>
              <w:tabs>
                <w:tab w:val="left" w:pos="5400"/>
              </w:tabs>
              <w:spacing w:line="240" w:lineRule="auto"/>
            </w:pPr>
            <w:r>
              <w:t>101-150</w:t>
            </w:r>
          </w:p>
        </w:tc>
        <w:tc>
          <w:tcPr>
            <w:tcW w:w="0" w:type="auto"/>
          </w:tcPr>
          <w:p w14:paraId="33D846CF" w14:textId="316DD84A" w:rsidR="00714C87" w:rsidRDefault="00714C87" w:rsidP="00714C87">
            <w:pPr>
              <w:tabs>
                <w:tab w:val="left" w:pos="5400"/>
              </w:tabs>
              <w:spacing w:line="240" w:lineRule="auto"/>
              <w:jc w:val="right"/>
            </w:pPr>
            <w:r>
              <w:t>3</w:t>
            </w:r>
          </w:p>
        </w:tc>
      </w:tr>
      <w:tr w:rsidR="00714C87" w14:paraId="17D04557" w14:textId="77777777" w:rsidTr="00714C87">
        <w:tc>
          <w:tcPr>
            <w:tcW w:w="0" w:type="auto"/>
          </w:tcPr>
          <w:p w14:paraId="49572920" w14:textId="41AB1F1D" w:rsidR="00714C87" w:rsidRDefault="00714C87" w:rsidP="009D2AA5">
            <w:pPr>
              <w:tabs>
                <w:tab w:val="left" w:pos="5400"/>
              </w:tabs>
              <w:spacing w:line="240" w:lineRule="auto"/>
            </w:pPr>
            <w:r>
              <w:t>151-200</w:t>
            </w:r>
          </w:p>
        </w:tc>
        <w:tc>
          <w:tcPr>
            <w:tcW w:w="0" w:type="auto"/>
          </w:tcPr>
          <w:p w14:paraId="2FD19F12" w14:textId="5E0F5431" w:rsidR="00714C87" w:rsidRDefault="00714C87" w:rsidP="00714C87">
            <w:pPr>
              <w:tabs>
                <w:tab w:val="left" w:pos="5400"/>
              </w:tabs>
              <w:spacing w:line="240" w:lineRule="auto"/>
              <w:jc w:val="right"/>
            </w:pPr>
            <w:r>
              <w:t>4</w:t>
            </w:r>
          </w:p>
        </w:tc>
      </w:tr>
      <w:tr w:rsidR="00714C87" w14:paraId="12E7A858" w14:textId="77777777" w:rsidTr="00714C87">
        <w:tc>
          <w:tcPr>
            <w:tcW w:w="0" w:type="auto"/>
          </w:tcPr>
          <w:p w14:paraId="4A439553" w14:textId="0A24CA7D" w:rsidR="00714C87" w:rsidRDefault="00714C87" w:rsidP="009D2AA5">
            <w:pPr>
              <w:tabs>
                <w:tab w:val="left" w:pos="5400"/>
              </w:tabs>
              <w:spacing w:line="240" w:lineRule="auto"/>
            </w:pPr>
            <w:r>
              <w:t>201-250</w:t>
            </w:r>
          </w:p>
        </w:tc>
        <w:tc>
          <w:tcPr>
            <w:tcW w:w="0" w:type="auto"/>
          </w:tcPr>
          <w:p w14:paraId="1DC46872" w14:textId="0D1DB651" w:rsidR="00714C87" w:rsidRDefault="00714C87" w:rsidP="00714C87">
            <w:pPr>
              <w:tabs>
                <w:tab w:val="left" w:pos="5400"/>
              </w:tabs>
              <w:spacing w:line="240" w:lineRule="auto"/>
              <w:jc w:val="right"/>
            </w:pPr>
            <w:r>
              <w:t>0</w:t>
            </w:r>
          </w:p>
        </w:tc>
      </w:tr>
      <w:tr w:rsidR="00714C87" w14:paraId="502455CC" w14:textId="77777777" w:rsidTr="00714C87">
        <w:tc>
          <w:tcPr>
            <w:tcW w:w="0" w:type="auto"/>
          </w:tcPr>
          <w:p w14:paraId="421F3F85" w14:textId="5584094A" w:rsidR="00714C87" w:rsidRDefault="00714C87" w:rsidP="009D2AA5">
            <w:pPr>
              <w:tabs>
                <w:tab w:val="left" w:pos="5400"/>
              </w:tabs>
              <w:spacing w:line="240" w:lineRule="auto"/>
            </w:pPr>
            <w:r>
              <w:lastRenderedPageBreak/>
              <w:t>251+</w:t>
            </w:r>
          </w:p>
        </w:tc>
        <w:tc>
          <w:tcPr>
            <w:tcW w:w="0" w:type="auto"/>
          </w:tcPr>
          <w:p w14:paraId="43D4A756" w14:textId="47E80516" w:rsidR="00714C87" w:rsidRDefault="00714C87" w:rsidP="00714C87">
            <w:pPr>
              <w:tabs>
                <w:tab w:val="left" w:pos="5400"/>
              </w:tabs>
              <w:spacing w:line="240" w:lineRule="auto"/>
              <w:jc w:val="right"/>
            </w:pPr>
            <w:r>
              <w:t>1</w:t>
            </w:r>
          </w:p>
        </w:tc>
      </w:tr>
    </w:tbl>
    <w:p w14:paraId="02EF2D26" w14:textId="31D78703" w:rsidR="00EE046E" w:rsidRPr="00EE046E" w:rsidRDefault="00EE046E" w:rsidP="00EE046E">
      <w:pPr>
        <w:tabs>
          <w:tab w:val="left" w:pos="5400"/>
        </w:tabs>
        <w:rPr>
          <w:i/>
          <w:iCs/>
        </w:rPr>
      </w:pPr>
      <w:r w:rsidRPr="00EE046E">
        <w:rPr>
          <w:i/>
          <w:iCs/>
        </w:rPr>
        <w:t xml:space="preserve">Data is based on the preliminary assessment date for the period of 01/01/2018 – 26/06/2025 inclusive. </w:t>
      </w:r>
    </w:p>
    <w:p w14:paraId="1F3B019E" w14:textId="36CDEF41" w:rsidR="00EE046E" w:rsidRDefault="00EE046E" w:rsidP="00EE046E">
      <w:pPr>
        <w:tabs>
          <w:tab w:val="left" w:pos="5400"/>
        </w:tabs>
      </w:pPr>
      <w:r>
        <w:t xml:space="preserve">Please note that relevant matters which have been subject to preliminary assessment, and thereafter subject to a misconduct investigation, may remain subject to live investigation. These instances are not included in the figures </w:t>
      </w:r>
      <w:r>
        <w:t>above</w:t>
      </w:r>
      <w:r>
        <w:t xml:space="preserve"> as we are unable to confirm the length of the investigation, given it has not yet been concluded. </w:t>
      </w:r>
    </w:p>
    <w:p w14:paraId="35B9C033" w14:textId="77777777" w:rsidR="00EE046E" w:rsidRDefault="00EE046E" w:rsidP="00EE046E">
      <w:pPr>
        <w:tabs>
          <w:tab w:val="left" w:pos="5400"/>
        </w:tabs>
      </w:pPr>
      <w:r>
        <w:t xml:space="preserve">It should also be noted that each investigation may include multiple allegations and may not be limited to Data Protection related allegations alone. </w:t>
      </w:r>
    </w:p>
    <w:p w14:paraId="3A77C12F" w14:textId="77777777" w:rsidR="00EE046E" w:rsidRPr="00B11A55" w:rsidRDefault="00EE046E"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5930CF0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E046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FE6A13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E046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69C192D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E046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54C39C4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E046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3223CF6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E046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69D6BF5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E046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43FF"/>
    <w:rsid w:val="000E6526"/>
    <w:rsid w:val="00141533"/>
    <w:rsid w:val="00167528"/>
    <w:rsid w:val="00184727"/>
    <w:rsid w:val="00195CC4"/>
    <w:rsid w:val="001F2261"/>
    <w:rsid w:val="00207326"/>
    <w:rsid w:val="00253DF6"/>
    <w:rsid w:val="00255F1E"/>
    <w:rsid w:val="00260FBC"/>
    <w:rsid w:val="0036503B"/>
    <w:rsid w:val="00376A4A"/>
    <w:rsid w:val="00381234"/>
    <w:rsid w:val="003D6D03"/>
    <w:rsid w:val="003E12CA"/>
    <w:rsid w:val="004010DC"/>
    <w:rsid w:val="004341F0"/>
    <w:rsid w:val="00456324"/>
    <w:rsid w:val="00475460"/>
    <w:rsid w:val="00490317"/>
    <w:rsid w:val="00491644"/>
    <w:rsid w:val="00496A08"/>
    <w:rsid w:val="004E1605"/>
    <w:rsid w:val="004F653C"/>
    <w:rsid w:val="00540A52"/>
    <w:rsid w:val="00557306"/>
    <w:rsid w:val="00600900"/>
    <w:rsid w:val="00645CFA"/>
    <w:rsid w:val="00685219"/>
    <w:rsid w:val="006D5799"/>
    <w:rsid w:val="00714C87"/>
    <w:rsid w:val="007440EA"/>
    <w:rsid w:val="00750D83"/>
    <w:rsid w:val="00785DBC"/>
    <w:rsid w:val="00793DD5"/>
    <w:rsid w:val="007D55F6"/>
    <w:rsid w:val="007F490F"/>
    <w:rsid w:val="00830039"/>
    <w:rsid w:val="0086779C"/>
    <w:rsid w:val="00874BFD"/>
    <w:rsid w:val="008964EF"/>
    <w:rsid w:val="00915E01"/>
    <w:rsid w:val="009631A4"/>
    <w:rsid w:val="00977296"/>
    <w:rsid w:val="009D2AA5"/>
    <w:rsid w:val="00A25E93"/>
    <w:rsid w:val="00A320FF"/>
    <w:rsid w:val="00A70AC0"/>
    <w:rsid w:val="00A84EA9"/>
    <w:rsid w:val="00A92DA4"/>
    <w:rsid w:val="00AC443C"/>
    <w:rsid w:val="00B033D6"/>
    <w:rsid w:val="00B11A55"/>
    <w:rsid w:val="00B17211"/>
    <w:rsid w:val="00B461B2"/>
    <w:rsid w:val="00B654B6"/>
    <w:rsid w:val="00B71B3C"/>
    <w:rsid w:val="00BC389E"/>
    <w:rsid w:val="00BD0588"/>
    <w:rsid w:val="00BE1888"/>
    <w:rsid w:val="00BF6B81"/>
    <w:rsid w:val="00C077A8"/>
    <w:rsid w:val="00C14FF4"/>
    <w:rsid w:val="00C1679F"/>
    <w:rsid w:val="00C606A2"/>
    <w:rsid w:val="00C63872"/>
    <w:rsid w:val="00C84948"/>
    <w:rsid w:val="00C94ED8"/>
    <w:rsid w:val="00CB2B11"/>
    <w:rsid w:val="00CE09FA"/>
    <w:rsid w:val="00CF1111"/>
    <w:rsid w:val="00D05706"/>
    <w:rsid w:val="00D27DC5"/>
    <w:rsid w:val="00D47E36"/>
    <w:rsid w:val="00E55D79"/>
    <w:rsid w:val="00EE046E"/>
    <w:rsid w:val="00EE2373"/>
    <w:rsid w:val="00EE66E5"/>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714C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otland.police.uk/about-us/who-we-are/our-standards-of-professional-behaviou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gov.scot/binaries/content/documents/govscot/publications/factsheet/2018/04/conduct-and-performance-procedures-police-guidance/documents/police-guidance-conduct-procedures/police-guidance-conduct-procedures/govscot%3Adocument/Police%2BService%2Bof%2BScotland%2B%2528conduct%2529%2Bregulations%2B2014.pdf"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foi.sco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ssi/2014/68/contents/made"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foi.scot/appeal"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561</Words>
  <Characters>3204</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2025-08-05T16:09:00Z</dcterms:created>
  <dcterms:modified xsi:type="dcterms:W3CDTF">2025-08-11T14:12:00Z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