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B56075">
              <w:t>0040</w:t>
            </w:r>
          </w:p>
          <w:p w:rsidR="00B17211" w:rsidRDefault="00456324" w:rsidP="00B56075">
            <w:r w:rsidRPr="007F490F">
              <w:rPr>
                <w:rStyle w:val="Heading2Char"/>
              </w:rPr>
              <w:t>Respon</w:t>
            </w:r>
            <w:r w:rsidR="007D55F6">
              <w:rPr>
                <w:rStyle w:val="Heading2Char"/>
              </w:rPr>
              <w:t>ded to:</w:t>
            </w:r>
            <w:r w:rsidR="007F490F">
              <w:t xml:space="preserve">  </w:t>
            </w:r>
            <w:r w:rsidR="00B56075">
              <w:t>01</w:t>
            </w:r>
            <w:r w:rsidR="006D5799">
              <w:t xml:space="preserve"> February</w:t>
            </w:r>
            <w:r>
              <w:t xml:space="preserve"> 2023</w:t>
            </w:r>
          </w:p>
        </w:tc>
      </w:tr>
    </w:tbl>
    <w:p w:rsidR="0098770F" w:rsidRDefault="00793DD5" w:rsidP="0036503B">
      <w:r w:rsidRPr="004742DB">
        <w:t xml:space="preserve">Your recent request for information is replicated below, together with </w:t>
      </w:r>
      <w:r w:rsidR="004341F0" w:rsidRPr="004742DB">
        <w:t>our</w:t>
      </w:r>
      <w:r w:rsidRPr="004742DB">
        <w:t xml:space="preserve"> response.</w:t>
      </w:r>
    </w:p>
    <w:p w:rsidR="0098770F" w:rsidRPr="0098770F" w:rsidRDefault="0098770F" w:rsidP="0098770F">
      <w:pPr>
        <w:pStyle w:val="Heading2"/>
      </w:pPr>
      <w:r w:rsidRPr="0098770F">
        <w:t>Can you advise what yearly (April to April) budget / cost is used to address staff welfare. If time and cost permits please include what the budget / cost to each service provided is.</w:t>
      </w:r>
    </w:p>
    <w:p w:rsidR="0098770F" w:rsidRPr="0098770F" w:rsidRDefault="0098770F" w:rsidP="0098770F">
      <w:r w:rsidRPr="0098770F">
        <w:t>In response to your request, I regret to inform you that I am unable to provide you with the information you have requested, as it would prove too costly to do so within the c</w:t>
      </w:r>
      <w:r>
        <w:t xml:space="preserve">ontext of the fee regulations. </w:t>
      </w:r>
    </w:p>
    <w:p w:rsidR="0098770F" w:rsidRPr="0098770F" w:rsidRDefault="0098770F" w:rsidP="0098770F">
      <w:r w:rsidRPr="0098770F">
        <w:t>As you may be aware the current cost threshold is £600 and I estimate that it would cost well in excess of this a</w:t>
      </w:r>
      <w:r>
        <w:t xml:space="preserve">mount to process your request. </w:t>
      </w:r>
    </w:p>
    <w:p w:rsidR="0098770F" w:rsidRPr="0098770F" w:rsidRDefault="0098770F" w:rsidP="0098770F">
      <w:r w:rsidRPr="0098770F">
        <w:t>As such, and in terms of Section 16(4) of the Freedom of Information (Scotland) Act 2002 where Section 12(1) of the Act (Excessive Cost of Compliance) has been applied, this represents a refusal noti</w:t>
      </w:r>
      <w:r>
        <w:t xml:space="preserve">ce for the information sought. </w:t>
      </w:r>
    </w:p>
    <w:p w:rsidR="0098770F" w:rsidRPr="0098770F" w:rsidRDefault="0098770F" w:rsidP="0098770F">
      <w:r w:rsidRPr="0098770F">
        <w:t>By way of explanation, in order to determine the annual spend on wellbeing initiatives, all Police Scotland invoices would need to be manually examined to determine cost and relevance to wellbeing. Police Scotland receive hundreds of invoices on a monthly basis, to provide a response for a single year would greatly exceed the time threshold set out within the Act. This represents a refusal notice for the information sought.</w:t>
      </w:r>
    </w:p>
    <w:p w:rsidR="0098770F" w:rsidRPr="0098770F" w:rsidRDefault="0098770F" w:rsidP="0098770F">
      <w:r w:rsidRPr="0098770F">
        <w:t>By way of assistance I can advise that Police Scotland use the services of Optima Health which provides Occupational Health (OH) Services as well as the Employee Assistance Scheme (EAP). The EAP offers professional support and guidance via a team of wellbeing and counselling practitioners who offer unbiased support and guidance. This is delivered in a range of ways, face to face, via the telephone or online. They provide support and guidance on a wide range of issues including psychological, physical, financial and social concerns. Including family care, consumer advice, financial advice, education issues, legal advice, health advice and housing issues.</w:t>
      </w:r>
    </w:p>
    <w:p w:rsidR="0098770F" w:rsidRPr="0098770F" w:rsidRDefault="0098770F" w:rsidP="0098770F"/>
    <w:p w:rsidR="0098770F" w:rsidRPr="0098770F" w:rsidRDefault="0098770F" w:rsidP="0036503B">
      <w:r w:rsidRPr="0098770F">
        <w:lastRenderedPageBreak/>
        <w:t>Provided below is the actual costs for staff welfare</w:t>
      </w:r>
      <w:r>
        <w:t xml:space="preserve"> for the past three years:</w:t>
      </w:r>
    </w:p>
    <w:tbl>
      <w:tblPr>
        <w:tblStyle w:val="TableGrid"/>
        <w:tblW w:w="8125" w:type="dxa"/>
        <w:tblLook w:val="04A0" w:firstRow="1" w:lastRow="0" w:firstColumn="1" w:lastColumn="0" w:noHBand="0" w:noVBand="1"/>
        <w:tblCaption w:val="Example table"/>
        <w:tblDescription w:val="Example table"/>
      </w:tblPr>
      <w:tblGrid>
        <w:gridCol w:w="2641"/>
        <w:gridCol w:w="1687"/>
        <w:gridCol w:w="1898"/>
        <w:gridCol w:w="1899"/>
      </w:tblGrid>
      <w:tr w:rsidR="004742DB" w:rsidRPr="00557306" w:rsidTr="0098770F">
        <w:trPr>
          <w:tblHeader/>
        </w:trPr>
        <w:tc>
          <w:tcPr>
            <w:tcW w:w="2641" w:type="dxa"/>
            <w:shd w:val="clear" w:color="auto" w:fill="D9D9D9" w:themeFill="background1" w:themeFillShade="D9"/>
          </w:tcPr>
          <w:p w:rsidR="004742DB" w:rsidRDefault="004742DB" w:rsidP="004742DB">
            <w:pPr>
              <w:pStyle w:val="Default"/>
              <w:rPr>
                <w:sz w:val="23"/>
                <w:szCs w:val="23"/>
              </w:rPr>
            </w:pPr>
            <w:r>
              <w:rPr>
                <w:b/>
                <w:bCs/>
                <w:sz w:val="23"/>
                <w:szCs w:val="23"/>
              </w:rPr>
              <w:t>Year ended 31 March</w:t>
            </w:r>
          </w:p>
          <w:p w:rsidR="004742DB" w:rsidRPr="00557306" w:rsidRDefault="004742DB" w:rsidP="00D05706">
            <w:pPr>
              <w:rPr>
                <w:b/>
              </w:rPr>
            </w:pPr>
          </w:p>
        </w:tc>
        <w:tc>
          <w:tcPr>
            <w:tcW w:w="1687" w:type="dxa"/>
            <w:shd w:val="clear" w:color="auto" w:fill="D9D9D9" w:themeFill="background1" w:themeFillShade="D9"/>
          </w:tcPr>
          <w:p w:rsidR="004742DB" w:rsidRDefault="004742DB" w:rsidP="004742DB">
            <w:pPr>
              <w:pStyle w:val="Default"/>
              <w:rPr>
                <w:sz w:val="23"/>
                <w:szCs w:val="23"/>
              </w:rPr>
            </w:pPr>
            <w:r>
              <w:rPr>
                <w:b/>
                <w:bCs/>
                <w:sz w:val="23"/>
                <w:szCs w:val="23"/>
              </w:rPr>
              <w:t xml:space="preserve">EAP </w:t>
            </w:r>
          </w:p>
          <w:p w:rsidR="004742DB" w:rsidRPr="00557306" w:rsidRDefault="004742DB" w:rsidP="00D05706">
            <w:pPr>
              <w:rPr>
                <w:b/>
              </w:rPr>
            </w:pPr>
            <w:r w:rsidRPr="00557306">
              <w:rPr>
                <w:b/>
              </w:rPr>
              <w:t xml:space="preserve"> </w:t>
            </w:r>
          </w:p>
        </w:tc>
        <w:tc>
          <w:tcPr>
            <w:tcW w:w="1898" w:type="dxa"/>
            <w:shd w:val="clear" w:color="auto" w:fill="D9D9D9" w:themeFill="background1" w:themeFillShade="D9"/>
          </w:tcPr>
          <w:p w:rsidR="004742DB" w:rsidRDefault="004742DB" w:rsidP="004742DB">
            <w:pPr>
              <w:pStyle w:val="Default"/>
              <w:rPr>
                <w:sz w:val="23"/>
                <w:szCs w:val="23"/>
              </w:rPr>
            </w:pPr>
            <w:r>
              <w:rPr>
                <w:b/>
                <w:bCs/>
                <w:sz w:val="23"/>
                <w:szCs w:val="23"/>
              </w:rPr>
              <w:t xml:space="preserve">OH </w:t>
            </w:r>
          </w:p>
          <w:p w:rsidR="004742DB" w:rsidRPr="00557306" w:rsidRDefault="004742DB" w:rsidP="00D05706">
            <w:pPr>
              <w:rPr>
                <w:b/>
              </w:rPr>
            </w:pPr>
          </w:p>
        </w:tc>
        <w:tc>
          <w:tcPr>
            <w:tcW w:w="1899" w:type="dxa"/>
            <w:shd w:val="clear" w:color="auto" w:fill="D9D9D9" w:themeFill="background1" w:themeFillShade="D9"/>
          </w:tcPr>
          <w:p w:rsidR="004742DB" w:rsidRDefault="004742DB" w:rsidP="004742DB">
            <w:pPr>
              <w:pStyle w:val="Default"/>
              <w:rPr>
                <w:sz w:val="23"/>
                <w:szCs w:val="23"/>
              </w:rPr>
            </w:pPr>
            <w:r>
              <w:rPr>
                <w:b/>
                <w:bCs/>
                <w:sz w:val="23"/>
                <w:szCs w:val="23"/>
              </w:rPr>
              <w:t xml:space="preserve">Total </w:t>
            </w:r>
          </w:p>
          <w:p w:rsidR="004742DB" w:rsidRPr="00557306" w:rsidRDefault="004742DB" w:rsidP="00D05706">
            <w:pPr>
              <w:rPr>
                <w:b/>
              </w:rPr>
            </w:pPr>
            <w:r w:rsidRPr="00557306">
              <w:rPr>
                <w:b/>
              </w:rPr>
              <w:t xml:space="preserve"> </w:t>
            </w:r>
          </w:p>
        </w:tc>
      </w:tr>
      <w:tr w:rsidR="004742DB" w:rsidTr="0098770F">
        <w:tc>
          <w:tcPr>
            <w:tcW w:w="2641" w:type="dxa"/>
          </w:tcPr>
          <w:p w:rsidR="004742DB" w:rsidRDefault="004742DB" w:rsidP="004742DB">
            <w:pPr>
              <w:pStyle w:val="Default"/>
              <w:rPr>
                <w:sz w:val="23"/>
                <w:szCs w:val="23"/>
              </w:rPr>
            </w:pPr>
            <w:r>
              <w:rPr>
                <w:sz w:val="23"/>
                <w:szCs w:val="23"/>
              </w:rPr>
              <w:t xml:space="preserve">2020 </w:t>
            </w:r>
          </w:p>
        </w:tc>
        <w:tc>
          <w:tcPr>
            <w:tcW w:w="1687" w:type="dxa"/>
          </w:tcPr>
          <w:p w:rsidR="004742DB" w:rsidRDefault="004742DB" w:rsidP="004742DB">
            <w:pPr>
              <w:pStyle w:val="Default"/>
              <w:rPr>
                <w:sz w:val="23"/>
                <w:szCs w:val="23"/>
              </w:rPr>
            </w:pPr>
            <w:r>
              <w:rPr>
                <w:sz w:val="23"/>
                <w:szCs w:val="23"/>
              </w:rPr>
              <w:t xml:space="preserve">£193,588.00 </w:t>
            </w:r>
          </w:p>
        </w:tc>
        <w:tc>
          <w:tcPr>
            <w:tcW w:w="1898" w:type="dxa"/>
          </w:tcPr>
          <w:p w:rsidR="004742DB" w:rsidRDefault="004742DB" w:rsidP="004742DB">
            <w:pPr>
              <w:pStyle w:val="Default"/>
              <w:rPr>
                <w:sz w:val="23"/>
                <w:szCs w:val="23"/>
              </w:rPr>
            </w:pPr>
            <w:r>
              <w:rPr>
                <w:sz w:val="23"/>
                <w:szCs w:val="23"/>
              </w:rPr>
              <w:t xml:space="preserve">£1,887,920.00 </w:t>
            </w:r>
          </w:p>
        </w:tc>
        <w:tc>
          <w:tcPr>
            <w:tcW w:w="1899" w:type="dxa"/>
          </w:tcPr>
          <w:p w:rsidR="004742DB" w:rsidRDefault="004742DB" w:rsidP="004742DB">
            <w:pPr>
              <w:pStyle w:val="Default"/>
              <w:rPr>
                <w:sz w:val="23"/>
                <w:szCs w:val="23"/>
              </w:rPr>
            </w:pPr>
            <w:r>
              <w:rPr>
                <w:sz w:val="23"/>
                <w:szCs w:val="23"/>
              </w:rPr>
              <w:t xml:space="preserve">£2,081,508.00 </w:t>
            </w:r>
          </w:p>
        </w:tc>
      </w:tr>
      <w:tr w:rsidR="004742DB" w:rsidTr="0098770F">
        <w:tc>
          <w:tcPr>
            <w:tcW w:w="2641" w:type="dxa"/>
          </w:tcPr>
          <w:p w:rsidR="004742DB" w:rsidRDefault="004742DB" w:rsidP="00255F1E">
            <w:pPr>
              <w:tabs>
                <w:tab w:val="left" w:pos="5400"/>
              </w:tabs>
            </w:pPr>
            <w:r>
              <w:t>2021</w:t>
            </w:r>
          </w:p>
        </w:tc>
        <w:tc>
          <w:tcPr>
            <w:tcW w:w="1687" w:type="dxa"/>
          </w:tcPr>
          <w:p w:rsidR="004742DB" w:rsidRPr="0098770F" w:rsidRDefault="004742DB" w:rsidP="0098770F">
            <w:pPr>
              <w:pStyle w:val="Default"/>
              <w:rPr>
                <w:sz w:val="23"/>
                <w:szCs w:val="23"/>
              </w:rPr>
            </w:pPr>
            <w:r>
              <w:rPr>
                <w:sz w:val="23"/>
                <w:szCs w:val="23"/>
              </w:rPr>
              <w:t xml:space="preserve">£140,850.00 </w:t>
            </w:r>
          </w:p>
        </w:tc>
        <w:tc>
          <w:tcPr>
            <w:tcW w:w="1898" w:type="dxa"/>
          </w:tcPr>
          <w:p w:rsidR="004742DB" w:rsidRPr="0098770F" w:rsidRDefault="004742DB" w:rsidP="0098770F">
            <w:pPr>
              <w:pStyle w:val="Default"/>
              <w:rPr>
                <w:sz w:val="23"/>
                <w:szCs w:val="23"/>
              </w:rPr>
            </w:pPr>
            <w:r>
              <w:rPr>
                <w:sz w:val="23"/>
                <w:szCs w:val="23"/>
              </w:rPr>
              <w:t xml:space="preserve">£1,559,347.00 </w:t>
            </w:r>
          </w:p>
        </w:tc>
        <w:tc>
          <w:tcPr>
            <w:tcW w:w="1899" w:type="dxa"/>
          </w:tcPr>
          <w:p w:rsidR="004742DB" w:rsidRPr="0098770F" w:rsidRDefault="004742DB" w:rsidP="0098770F">
            <w:pPr>
              <w:pStyle w:val="Default"/>
              <w:rPr>
                <w:sz w:val="23"/>
                <w:szCs w:val="23"/>
              </w:rPr>
            </w:pPr>
            <w:r>
              <w:rPr>
                <w:sz w:val="23"/>
                <w:szCs w:val="23"/>
              </w:rPr>
              <w:t xml:space="preserve">£1,700,197.00 </w:t>
            </w:r>
          </w:p>
        </w:tc>
      </w:tr>
      <w:tr w:rsidR="004742DB" w:rsidTr="0098770F">
        <w:tc>
          <w:tcPr>
            <w:tcW w:w="2641" w:type="dxa"/>
          </w:tcPr>
          <w:p w:rsidR="004742DB" w:rsidRDefault="004742DB" w:rsidP="004742DB">
            <w:pPr>
              <w:tabs>
                <w:tab w:val="left" w:pos="5400"/>
              </w:tabs>
            </w:pPr>
            <w:r>
              <w:t>2022</w:t>
            </w:r>
          </w:p>
        </w:tc>
        <w:tc>
          <w:tcPr>
            <w:tcW w:w="1687" w:type="dxa"/>
          </w:tcPr>
          <w:p w:rsidR="004742DB" w:rsidRPr="0098770F" w:rsidRDefault="004742DB" w:rsidP="0098770F">
            <w:pPr>
              <w:pStyle w:val="Default"/>
              <w:rPr>
                <w:sz w:val="23"/>
                <w:szCs w:val="23"/>
              </w:rPr>
            </w:pPr>
            <w:r>
              <w:rPr>
                <w:sz w:val="23"/>
                <w:szCs w:val="23"/>
              </w:rPr>
              <w:t xml:space="preserve">£136,506.00 </w:t>
            </w:r>
          </w:p>
        </w:tc>
        <w:tc>
          <w:tcPr>
            <w:tcW w:w="1898" w:type="dxa"/>
          </w:tcPr>
          <w:p w:rsidR="004742DB" w:rsidRPr="0098770F" w:rsidRDefault="004742DB" w:rsidP="0098770F">
            <w:pPr>
              <w:pStyle w:val="Default"/>
              <w:rPr>
                <w:sz w:val="23"/>
                <w:szCs w:val="23"/>
              </w:rPr>
            </w:pPr>
            <w:r>
              <w:rPr>
                <w:sz w:val="23"/>
                <w:szCs w:val="23"/>
              </w:rPr>
              <w:t xml:space="preserve">£1,898,705.00 </w:t>
            </w:r>
          </w:p>
        </w:tc>
        <w:tc>
          <w:tcPr>
            <w:tcW w:w="1899" w:type="dxa"/>
          </w:tcPr>
          <w:p w:rsidR="004742DB" w:rsidRPr="0098770F" w:rsidRDefault="004742DB" w:rsidP="0098770F">
            <w:pPr>
              <w:pStyle w:val="Default"/>
              <w:rPr>
                <w:sz w:val="23"/>
                <w:szCs w:val="23"/>
              </w:rPr>
            </w:pPr>
            <w:r>
              <w:rPr>
                <w:sz w:val="23"/>
                <w:szCs w:val="23"/>
              </w:rPr>
              <w:t xml:space="preserve">£2,035,211.00 </w:t>
            </w:r>
          </w:p>
        </w:tc>
        <w:bookmarkStart w:id="0" w:name="_GoBack"/>
        <w:bookmarkEnd w:id="0"/>
      </w:tr>
      <w:tr w:rsidR="004742DB" w:rsidTr="0098770F">
        <w:tc>
          <w:tcPr>
            <w:tcW w:w="2641" w:type="dxa"/>
          </w:tcPr>
          <w:p w:rsidR="004742DB" w:rsidRDefault="004742DB" w:rsidP="00255F1E">
            <w:pPr>
              <w:tabs>
                <w:tab w:val="left" w:pos="5400"/>
              </w:tabs>
            </w:pPr>
            <w:r>
              <w:t>Total</w:t>
            </w:r>
          </w:p>
        </w:tc>
        <w:tc>
          <w:tcPr>
            <w:tcW w:w="1687" w:type="dxa"/>
          </w:tcPr>
          <w:p w:rsidR="004742DB" w:rsidRPr="0098770F" w:rsidRDefault="004742DB" w:rsidP="0098770F">
            <w:pPr>
              <w:pStyle w:val="Default"/>
              <w:rPr>
                <w:sz w:val="23"/>
                <w:szCs w:val="23"/>
              </w:rPr>
            </w:pPr>
            <w:r w:rsidRPr="004742DB">
              <w:rPr>
                <w:bCs/>
                <w:sz w:val="23"/>
                <w:szCs w:val="23"/>
              </w:rPr>
              <w:t xml:space="preserve">£470,944.00 </w:t>
            </w:r>
          </w:p>
        </w:tc>
        <w:tc>
          <w:tcPr>
            <w:tcW w:w="1898" w:type="dxa"/>
          </w:tcPr>
          <w:p w:rsidR="004742DB" w:rsidRPr="0098770F" w:rsidRDefault="004742DB" w:rsidP="0098770F">
            <w:pPr>
              <w:pStyle w:val="Default"/>
              <w:rPr>
                <w:sz w:val="23"/>
                <w:szCs w:val="23"/>
              </w:rPr>
            </w:pPr>
            <w:r w:rsidRPr="004742DB">
              <w:rPr>
                <w:bCs/>
                <w:sz w:val="23"/>
                <w:szCs w:val="23"/>
              </w:rPr>
              <w:t xml:space="preserve">£5,345,972.00 </w:t>
            </w:r>
          </w:p>
        </w:tc>
        <w:tc>
          <w:tcPr>
            <w:tcW w:w="1899" w:type="dxa"/>
          </w:tcPr>
          <w:p w:rsidR="004742DB" w:rsidRPr="0098770F" w:rsidRDefault="004742DB" w:rsidP="0098770F">
            <w:pPr>
              <w:pStyle w:val="Default"/>
              <w:rPr>
                <w:sz w:val="23"/>
                <w:szCs w:val="23"/>
              </w:rPr>
            </w:pPr>
            <w:r w:rsidRPr="004742DB">
              <w:rPr>
                <w:bCs/>
                <w:sz w:val="23"/>
                <w:szCs w:val="23"/>
              </w:rPr>
              <w:t xml:space="preserve">£5,816,916.00 </w:t>
            </w:r>
          </w:p>
        </w:tc>
      </w:tr>
    </w:tbl>
    <w:p w:rsidR="00B56075" w:rsidRDefault="00B56075" w:rsidP="00793DD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770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770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770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770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770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770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C40D80"/>
    <w:multiLevelType w:val="hybridMultilevel"/>
    <w:tmpl w:val="44C47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42DB"/>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98770F"/>
    <w:rsid w:val="00A25E93"/>
    <w:rsid w:val="00A320FF"/>
    <w:rsid w:val="00A70AC0"/>
    <w:rsid w:val="00AC443C"/>
    <w:rsid w:val="00B11A55"/>
    <w:rsid w:val="00B17211"/>
    <w:rsid w:val="00B461B2"/>
    <w:rsid w:val="00B56075"/>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4742DB"/>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4742DB"/>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415496">
      <w:bodyDiv w:val="1"/>
      <w:marLeft w:val="0"/>
      <w:marRight w:val="0"/>
      <w:marTop w:val="0"/>
      <w:marBottom w:val="0"/>
      <w:divBdr>
        <w:top w:val="none" w:sz="0" w:space="0" w:color="auto"/>
        <w:left w:val="none" w:sz="0" w:space="0" w:color="auto"/>
        <w:bottom w:val="none" w:sz="0" w:space="0" w:color="auto"/>
        <w:right w:val="none" w:sz="0" w:space="0" w:color="auto"/>
      </w:divBdr>
    </w:div>
    <w:div w:id="174294399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2</Pages>
  <Words>529</Words>
  <Characters>3021</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2023-02-01T10:17:00Z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