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E0865AA" w14:textId="77777777" w:rsidTr="00540A52">
        <w:trPr>
          <w:trHeight w:val="2552"/>
          <w:tblHeader/>
        </w:trPr>
        <w:tc>
          <w:tcPr>
            <w:tcW w:w="2269" w:type="dxa"/>
          </w:tcPr>
          <w:p w14:paraId="58D6D9F9" w14:textId="77777777" w:rsidR="00B17211" w:rsidRDefault="007F490F" w:rsidP="00540A52">
            <w:pPr>
              <w:pStyle w:val="Heading1"/>
              <w:spacing w:before="0" w:after="0" w:line="240" w:lineRule="auto"/>
            </w:pPr>
            <w:r>
              <w:rPr>
                <w:noProof/>
                <w:lang w:eastAsia="en-GB"/>
              </w:rPr>
              <w:drawing>
                <wp:inline distT="0" distB="0" distL="0" distR="0" wp14:anchorId="69D6B406" wp14:editId="6CC53BB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5751DF1" w14:textId="77777777" w:rsidR="00456324" w:rsidRPr="00456324" w:rsidRDefault="00456324" w:rsidP="00B17211">
            <w:pPr>
              <w:pStyle w:val="Heading1"/>
              <w:spacing w:before="120"/>
              <w:rPr>
                <w:sz w:val="4"/>
              </w:rPr>
            </w:pPr>
          </w:p>
          <w:p w14:paraId="390A8363" w14:textId="77777777" w:rsidR="00B17211" w:rsidRDefault="007F490F" w:rsidP="00B17211">
            <w:pPr>
              <w:pStyle w:val="Heading1"/>
              <w:spacing w:before="120"/>
            </w:pPr>
            <w:r>
              <w:t>F</w:t>
            </w:r>
            <w:r w:rsidRPr="003E12CA">
              <w:t xml:space="preserve">reedom of Information </w:t>
            </w:r>
            <w:r>
              <w:t>Response</w:t>
            </w:r>
          </w:p>
          <w:p w14:paraId="635F48D3" w14:textId="4552ED07" w:rsidR="00B17211" w:rsidRPr="00B17211" w:rsidRDefault="00B17211" w:rsidP="007F490F">
            <w:r w:rsidRPr="007F490F">
              <w:rPr>
                <w:rStyle w:val="Heading2Char"/>
              </w:rPr>
              <w:t>Our reference:</w:t>
            </w:r>
            <w:r>
              <w:t xml:space="preserve">  FOI 2</w:t>
            </w:r>
            <w:r w:rsidR="00AC443C">
              <w:t>3</w:t>
            </w:r>
            <w:r>
              <w:t>-</w:t>
            </w:r>
            <w:r w:rsidR="00A0459D">
              <w:t>1623</w:t>
            </w:r>
          </w:p>
          <w:p w14:paraId="5979BB04" w14:textId="135EF6E8" w:rsidR="00B17211" w:rsidRDefault="00456324" w:rsidP="00EE2373">
            <w:r w:rsidRPr="007F490F">
              <w:rPr>
                <w:rStyle w:val="Heading2Char"/>
              </w:rPr>
              <w:t>Respon</w:t>
            </w:r>
            <w:r w:rsidR="007D55F6">
              <w:rPr>
                <w:rStyle w:val="Heading2Char"/>
              </w:rPr>
              <w:t>ded to:</w:t>
            </w:r>
            <w:r w:rsidR="007F490F">
              <w:t xml:space="preserve">  </w:t>
            </w:r>
            <w:r w:rsidR="009544ED">
              <w:t>27</w:t>
            </w:r>
            <w:r w:rsidR="009544ED" w:rsidRPr="009544ED">
              <w:rPr>
                <w:vertAlign w:val="superscript"/>
              </w:rPr>
              <w:t>th</w:t>
            </w:r>
            <w:r w:rsidR="009544ED">
              <w:t xml:space="preserve"> </w:t>
            </w:r>
            <w:r w:rsidR="00393CCF">
              <w:t>September</w:t>
            </w:r>
            <w:r>
              <w:t xml:space="preserve"> 2023</w:t>
            </w:r>
          </w:p>
        </w:tc>
      </w:tr>
    </w:tbl>
    <w:p w14:paraId="1331031A" w14:textId="77777777" w:rsidR="00793DD5" w:rsidRDefault="00793DD5" w:rsidP="0036503B">
      <w:r w:rsidRPr="00793DD5">
        <w:t xml:space="preserve">Your recent request for information is replicated below, together with </w:t>
      </w:r>
      <w:r w:rsidR="004341F0">
        <w:t>our</w:t>
      </w:r>
      <w:r w:rsidRPr="00793DD5">
        <w:t xml:space="preserve"> response.</w:t>
      </w:r>
    </w:p>
    <w:p w14:paraId="144E9ECA" w14:textId="1889401A" w:rsidR="00A0459D" w:rsidRPr="00A0459D" w:rsidRDefault="00A0459D" w:rsidP="0036503B">
      <w:r>
        <w:t xml:space="preserve">Please accept our apologies for the delay in responding.  </w:t>
      </w:r>
    </w:p>
    <w:p w14:paraId="0745CAEE" w14:textId="77777777" w:rsidR="00A0459D" w:rsidRPr="00A0459D" w:rsidRDefault="00A0459D" w:rsidP="00A0459D">
      <w:pPr>
        <w:pStyle w:val="Heading2"/>
      </w:pPr>
      <w:r w:rsidRPr="00A0459D">
        <w:t>The number of complaints against the Police that required investigation (excluding front line resolution) over the last 5 years</w:t>
      </w:r>
    </w:p>
    <w:p w14:paraId="13DB8036" w14:textId="77777777" w:rsidR="00A0459D" w:rsidRDefault="00A0459D" w:rsidP="00A0459D">
      <w:pPr>
        <w:pStyle w:val="Heading2"/>
      </w:pPr>
      <w:r w:rsidRPr="00A0459D">
        <w:t xml:space="preserve">The number of complaints over the last 5 years that made criminal allegations against Police Scotland </w:t>
      </w:r>
    </w:p>
    <w:p w14:paraId="03963A75" w14:textId="392EFEEE" w:rsidR="00A0459D" w:rsidRDefault="00A0459D" w:rsidP="007943B4">
      <w:r w:rsidRPr="007943B4">
        <w:t xml:space="preserve">The Police Scotland </w:t>
      </w:r>
      <w:hyperlink r:id="rId8" w:tooltip="Complaints About The Police SOP" w:history="1">
        <w:r>
          <w:rPr>
            <w:rStyle w:val="Hyperlink"/>
          </w:rPr>
          <w:t>Complaints About the Police Standard Operating Procedure (SOP)</w:t>
        </w:r>
      </w:hyperlink>
      <w:r>
        <w:t xml:space="preserve"> outlines </w:t>
      </w:r>
      <w:r w:rsidRPr="007943B4">
        <w:t>how we deal with complaints.</w:t>
      </w:r>
      <w:r>
        <w:t xml:space="preserve">  Allegations are recorded in accordance with the</w:t>
      </w:r>
      <w:r w:rsidRPr="007943B4">
        <w:t xml:space="preserve"> categories listed at appendices </w:t>
      </w:r>
      <w:r>
        <w:t>C</w:t>
      </w:r>
      <w:r w:rsidRPr="007943B4">
        <w:t xml:space="preserve"> and </w:t>
      </w:r>
      <w:r>
        <w:t>D.</w:t>
      </w:r>
    </w:p>
    <w:p w14:paraId="22CB99EB" w14:textId="77777777" w:rsidR="00E972F5" w:rsidRDefault="00A0459D" w:rsidP="00A0459D">
      <w:r>
        <w:t>The table</w:t>
      </w:r>
      <w:r w:rsidRPr="00A0459D">
        <w:t xml:space="preserve"> below details the number of complaints received which were graded as a Criminal </w:t>
      </w:r>
      <w:r w:rsidR="000164FB">
        <w:t>C</w:t>
      </w:r>
      <w:r w:rsidRPr="00863902">
        <w:t>omplaint or a Non-Criminal (not F</w:t>
      </w:r>
      <w:r w:rsidR="00624BCD" w:rsidRPr="00863902">
        <w:t xml:space="preserve">ront </w:t>
      </w:r>
      <w:r w:rsidRPr="00863902">
        <w:t>L</w:t>
      </w:r>
      <w:r w:rsidR="00624BCD" w:rsidRPr="00863902">
        <w:t xml:space="preserve">ine </w:t>
      </w:r>
      <w:r w:rsidRPr="00863902">
        <w:t>R</w:t>
      </w:r>
      <w:r w:rsidR="00624BCD" w:rsidRPr="00863902">
        <w:t>esolution (FLR)</w:t>
      </w:r>
      <w:r w:rsidRPr="00863902">
        <w:t xml:space="preserve">) </w:t>
      </w:r>
      <w:r w:rsidR="00C345AA">
        <w:t>Complaint</w:t>
      </w:r>
      <w:r w:rsidRPr="00A0459D">
        <w:t xml:space="preserve">. </w:t>
      </w:r>
      <w:r>
        <w:t xml:space="preserve"> </w:t>
      </w:r>
    </w:p>
    <w:p w14:paraId="73D4CA31" w14:textId="6761822B" w:rsidR="00624BCD" w:rsidRDefault="00A0459D" w:rsidP="00A0459D">
      <w:r w:rsidRPr="00A0459D">
        <w:t>Only complaint cases graded as such are subject to a full investigation</w:t>
      </w:r>
      <w:r>
        <w:t>.</w:t>
      </w:r>
    </w:p>
    <w:p w14:paraId="10623FF4" w14:textId="76E7F0AD" w:rsidR="00A0459D" w:rsidRDefault="00A0459D" w:rsidP="00A0459D">
      <w:r w:rsidRPr="00A0459D">
        <w:t xml:space="preserve">Please </w:t>
      </w:r>
      <w:r>
        <w:t xml:space="preserve">also </w:t>
      </w:r>
      <w:r w:rsidRPr="00A0459D">
        <w:t xml:space="preserve">note that we do </w:t>
      </w:r>
      <w:r>
        <w:t xml:space="preserve">not </w:t>
      </w:r>
      <w:r w:rsidRPr="00A0459D">
        <w:t xml:space="preserve">record criminal allegations which do not result in a full investigation (i.e. </w:t>
      </w:r>
      <w:r>
        <w:t xml:space="preserve">they are </w:t>
      </w:r>
      <w:r w:rsidRPr="00A0459D">
        <w:t xml:space="preserve">abandoned or withdrawn). </w:t>
      </w:r>
    </w:p>
    <w:p w14:paraId="4CEA9658" w14:textId="62676CC0" w:rsidR="0066798A" w:rsidRPr="00A0459D" w:rsidRDefault="0066798A" w:rsidP="00A0459D">
      <w:r>
        <w:t>The data is based on the financial year commencing 1 April to 31 March for the respective periods.</w:t>
      </w:r>
    </w:p>
    <w:p w14:paraId="7978C11E" w14:textId="7749B588" w:rsidR="00910B1A" w:rsidRDefault="00F55200" w:rsidP="00A0459D">
      <w:r>
        <w:t>The</w:t>
      </w:r>
      <w:r w:rsidR="00A0459D" w:rsidRPr="00A0459D">
        <w:t xml:space="preserve"> data is based on </w:t>
      </w:r>
      <w:r>
        <w:t xml:space="preserve">a </w:t>
      </w:r>
      <w:r w:rsidR="00A0459D" w:rsidRPr="00A0459D">
        <w:t>snapshot taken on 31/08/2023 and is correct at that date.</w:t>
      </w:r>
    </w:p>
    <w:p w14:paraId="73582803" w14:textId="646CD6AC" w:rsidR="00E34B7C" w:rsidRPr="00E972F5" w:rsidRDefault="00910B1A" w:rsidP="00A0459D">
      <w:r>
        <w:t>The data is based on the case received date.</w:t>
      </w:r>
    </w:p>
    <w:p w14:paraId="72EA1174" w14:textId="4D2ABE26" w:rsidR="00A0459D" w:rsidRPr="00A0459D" w:rsidRDefault="00A0459D" w:rsidP="00A0459D">
      <w:pPr>
        <w:rPr>
          <w:i/>
          <w:iCs/>
        </w:rPr>
      </w:pPr>
      <w:r w:rsidRPr="00A0459D">
        <w:rPr>
          <w:i/>
          <w:iCs/>
        </w:rPr>
        <w:t>Complaints received, by case grade (selected) and financial year</w:t>
      </w:r>
    </w:p>
    <w:tbl>
      <w:tblPr>
        <w:tblW w:w="8704" w:type="dxa"/>
        <w:tblInd w:w="-3" w:type="dxa"/>
        <w:tblCellMar>
          <w:left w:w="0" w:type="dxa"/>
          <w:right w:w="0" w:type="dxa"/>
        </w:tblCellMar>
        <w:tblLook w:val="04A0" w:firstRow="1" w:lastRow="0" w:firstColumn="1" w:lastColumn="0" w:noHBand="0" w:noVBand="1"/>
      </w:tblPr>
      <w:tblGrid>
        <w:gridCol w:w="3284"/>
        <w:gridCol w:w="1084"/>
        <w:gridCol w:w="1084"/>
        <w:gridCol w:w="1084"/>
        <w:gridCol w:w="1084"/>
        <w:gridCol w:w="1084"/>
      </w:tblGrid>
      <w:tr w:rsidR="00A0459D" w:rsidRPr="00A0459D" w14:paraId="03011692" w14:textId="77777777" w:rsidTr="00353610">
        <w:trPr>
          <w:trHeight w:val="315"/>
        </w:trPr>
        <w:tc>
          <w:tcPr>
            <w:tcW w:w="3284"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18AC7772" w14:textId="77777777" w:rsidR="00A0459D" w:rsidRPr="00A0459D" w:rsidRDefault="00A0459D" w:rsidP="00A0459D">
            <w:pPr>
              <w:spacing w:line="240" w:lineRule="auto"/>
              <w:rPr>
                <w:b/>
                <w:bCs/>
              </w:rPr>
            </w:pPr>
            <w:r w:rsidRPr="00A0459D">
              <w:rPr>
                <w:b/>
                <w:bCs/>
              </w:rPr>
              <w:t>Case Grade</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B6EFDE6" w14:textId="77777777" w:rsidR="00A0459D" w:rsidRPr="00A0459D" w:rsidRDefault="00A0459D" w:rsidP="00A0459D">
            <w:pPr>
              <w:spacing w:line="240" w:lineRule="auto"/>
              <w:rPr>
                <w:b/>
                <w:bCs/>
              </w:rPr>
            </w:pPr>
            <w:r w:rsidRPr="00A0459D">
              <w:rPr>
                <w:b/>
                <w:bCs/>
              </w:rPr>
              <w:t>2018/19</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5C0F1DD8" w14:textId="77777777" w:rsidR="00A0459D" w:rsidRPr="00A0459D" w:rsidRDefault="00A0459D" w:rsidP="00A0459D">
            <w:pPr>
              <w:spacing w:line="240" w:lineRule="auto"/>
              <w:rPr>
                <w:b/>
                <w:bCs/>
              </w:rPr>
            </w:pPr>
            <w:r w:rsidRPr="00A0459D">
              <w:rPr>
                <w:b/>
                <w:bCs/>
              </w:rPr>
              <w:t>2019/20</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4AF8D7A3" w14:textId="77777777" w:rsidR="00A0459D" w:rsidRPr="00A0459D" w:rsidRDefault="00A0459D" w:rsidP="00A0459D">
            <w:pPr>
              <w:spacing w:line="240" w:lineRule="auto"/>
              <w:rPr>
                <w:b/>
                <w:bCs/>
              </w:rPr>
            </w:pPr>
            <w:r w:rsidRPr="00A0459D">
              <w:rPr>
                <w:b/>
                <w:bCs/>
              </w:rPr>
              <w:t>2020/21</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47755ED5" w14:textId="77777777" w:rsidR="00A0459D" w:rsidRPr="00A0459D" w:rsidRDefault="00A0459D" w:rsidP="00A0459D">
            <w:pPr>
              <w:spacing w:line="240" w:lineRule="auto"/>
              <w:rPr>
                <w:b/>
                <w:bCs/>
              </w:rPr>
            </w:pPr>
            <w:r w:rsidRPr="00A0459D">
              <w:rPr>
                <w:b/>
                <w:bCs/>
              </w:rPr>
              <w:t>2021/22</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CC3EA51" w14:textId="77777777" w:rsidR="00A0459D" w:rsidRPr="00A0459D" w:rsidRDefault="00A0459D" w:rsidP="00A0459D">
            <w:pPr>
              <w:spacing w:line="240" w:lineRule="auto"/>
              <w:rPr>
                <w:b/>
                <w:bCs/>
              </w:rPr>
            </w:pPr>
            <w:r w:rsidRPr="00A0459D">
              <w:rPr>
                <w:b/>
                <w:bCs/>
              </w:rPr>
              <w:t>2022/23</w:t>
            </w:r>
          </w:p>
        </w:tc>
      </w:tr>
      <w:tr w:rsidR="00A0459D" w:rsidRPr="00A0459D" w14:paraId="06E7B368" w14:textId="77777777" w:rsidTr="00353610">
        <w:trPr>
          <w:trHeight w:val="315"/>
        </w:trPr>
        <w:tc>
          <w:tcPr>
            <w:tcW w:w="32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CB9D4E" w14:textId="6F7C29ED" w:rsidR="00A0459D" w:rsidRPr="00A0459D" w:rsidRDefault="000164FB" w:rsidP="000164FB">
            <w:pPr>
              <w:spacing w:line="240" w:lineRule="auto"/>
            </w:pPr>
            <w:r>
              <w:t>Criminal</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E9101" w14:textId="77777777" w:rsidR="00A0459D" w:rsidRPr="00A0459D" w:rsidRDefault="00A0459D" w:rsidP="00A0459D">
            <w:pPr>
              <w:spacing w:line="240" w:lineRule="auto"/>
            </w:pPr>
            <w:r w:rsidRPr="00A0459D">
              <w:t>238</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EDB1C6" w14:textId="77777777" w:rsidR="00A0459D" w:rsidRPr="00A0459D" w:rsidRDefault="00A0459D" w:rsidP="00A0459D">
            <w:pPr>
              <w:spacing w:line="240" w:lineRule="auto"/>
            </w:pPr>
            <w:r w:rsidRPr="00A0459D">
              <w:t>307</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C9CDAC" w14:textId="77777777" w:rsidR="00A0459D" w:rsidRPr="00A0459D" w:rsidRDefault="00A0459D" w:rsidP="00A0459D">
            <w:pPr>
              <w:spacing w:line="240" w:lineRule="auto"/>
            </w:pPr>
            <w:r w:rsidRPr="00A0459D">
              <w:t>321</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E42A08" w14:textId="77777777" w:rsidR="00A0459D" w:rsidRPr="00A0459D" w:rsidRDefault="00A0459D" w:rsidP="00A0459D">
            <w:pPr>
              <w:spacing w:line="240" w:lineRule="auto"/>
            </w:pPr>
            <w:r w:rsidRPr="00A0459D">
              <w:t>334</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2D5A23" w14:textId="77777777" w:rsidR="00A0459D" w:rsidRPr="00A0459D" w:rsidRDefault="00A0459D" w:rsidP="00A0459D">
            <w:pPr>
              <w:spacing w:line="240" w:lineRule="auto"/>
            </w:pPr>
            <w:r w:rsidRPr="00A0459D">
              <w:t>436</w:t>
            </w:r>
          </w:p>
        </w:tc>
      </w:tr>
      <w:tr w:rsidR="00A0459D" w:rsidRPr="00A0459D" w14:paraId="520E1210" w14:textId="77777777" w:rsidTr="00353610">
        <w:trPr>
          <w:trHeight w:val="315"/>
        </w:trPr>
        <w:tc>
          <w:tcPr>
            <w:tcW w:w="328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1DA4339" w14:textId="1AFD43E1" w:rsidR="00A0459D" w:rsidRPr="00A0459D" w:rsidRDefault="00A0459D" w:rsidP="00A0459D">
            <w:pPr>
              <w:spacing w:line="240" w:lineRule="auto"/>
            </w:pPr>
            <w:r w:rsidRPr="00A0459D">
              <w:t>Non</w:t>
            </w:r>
            <w:r>
              <w:t>-</w:t>
            </w:r>
            <w:r w:rsidRPr="00A0459D">
              <w:t>Crim</w:t>
            </w:r>
            <w:r>
              <w:t>inal</w:t>
            </w:r>
            <w:r w:rsidRPr="00A0459D">
              <w:t xml:space="preserve"> (not FLR)</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19C27" w14:textId="77777777" w:rsidR="00A0459D" w:rsidRPr="00A0459D" w:rsidRDefault="00A0459D" w:rsidP="00A0459D">
            <w:pPr>
              <w:spacing w:line="240" w:lineRule="auto"/>
            </w:pPr>
            <w:r w:rsidRPr="00A0459D">
              <w:t>2,118</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E051B9" w14:textId="77777777" w:rsidR="00A0459D" w:rsidRPr="00A0459D" w:rsidRDefault="00A0459D" w:rsidP="00A0459D">
            <w:pPr>
              <w:spacing w:line="240" w:lineRule="auto"/>
            </w:pPr>
            <w:r w:rsidRPr="00A0459D">
              <w:t>2,177</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ABF09C" w14:textId="77777777" w:rsidR="00A0459D" w:rsidRPr="00A0459D" w:rsidRDefault="00A0459D" w:rsidP="00A0459D">
            <w:pPr>
              <w:spacing w:line="240" w:lineRule="auto"/>
            </w:pPr>
            <w:r w:rsidRPr="00A0459D">
              <w:t>2,058</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3A78AC" w14:textId="77777777" w:rsidR="00A0459D" w:rsidRPr="00A0459D" w:rsidRDefault="00A0459D" w:rsidP="00A0459D">
            <w:pPr>
              <w:spacing w:line="240" w:lineRule="auto"/>
            </w:pPr>
            <w:r w:rsidRPr="00A0459D">
              <w:t>1,411</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343CD2" w14:textId="77777777" w:rsidR="00A0459D" w:rsidRPr="00A0459D" w:rsidRDefault="00A0459D" w:rsidP="00A0459D">
            <w:pPr>
              <w:spacing w:line="240" w:lineRule="auto"/>
            </w:pPr>
            <w:r w:rsidRPr="00A0459D">
              <w:t>1,508</w:t>
            </w:r>
          </w:p>
        </w:tc>
      </w:tr>
    </w:tbl>
    <w:p w14:paraId="548B865E" w14:textId="1D0B6903" w:rsidR="00A0459D" w:rsidRPr="00A0459D" w:rsidRDefault="00A0459D" w:rsidP="00A0459D">
      <w:pPr>
        <w:pStyle w:val="Heading2"/>
      </w:pPr>
      <w:r>
        <w:lastRenderedPageBreak/>
        <w:t>…</w:t>
      </w:r>
      <w:r w:rsidRPr="00A0459D">
        <w:t>and if possible identifying how many (if any) were criminal complaints against PSD</w:t>
      </w:r>
    </w:p>
    <w:p w14:paraId="7791429B" w14:textId="77777777" w:rsidR="00A0459D" w:rsidRDefault="00A0459D" w:rsidP="00A0459D">
      <w:r w:rsidRPr="00A0459D">
        <w:t xml:space="preserve">Please note that complaints may relate to more than one division, as each complaint may involve multiple subject officers and may involve multiple allegations. </w:t>
      </w:r>
    </w:p>
    <w:p w14:paraId="2D3415E8" w14:textId="1FD92BA8" w:rsidR="00A0459D" w:rsidRDefault="00A0459D" w:rsidP="00A0459D">
      <w:r>
        <w:t>The table</w:t>
      </w:r>
      <w:r w:rsidRPr="00A0459D">
        <w:t xml:space="preserve"> below </w:t>
      </w:r>
      <w:r>
        <w:t xml:space="preserve">therefore </w:t>
      </w:r>
      <w:r w:rsidRPr="00A0459D">
        <w:t>details the number of criminal allegations registered against the Pro</w:t>
      </w:r>
      <w:r w:rsidR="0066798A">
        <w:t>fessional Standards D</w:t>
      </w:r>
      <w:r w:rsidRPr="00A0459D">
        <w:t>epartment</w:t>
      </w:r>
      <w:r w:rsidR="0066798A">
        <w:t xml:space="preserve"> (PSD)</w:t>
      </w:r>
      <w:r w:rsidRPr="00A0459D">
        <w:t xml:space="preserve"> and how many complaint cases this covers. </w:t>
      </w:r>
    </w:p>
    <w:p w14:paraId="20241374" w14:textId="7B753DEF" w:rsidR="00910B1A" w:rsidRPr="00A0459D" w:rsidRDefault="00910B1A" w:rsidP="00A0459D">
      <w:r>
        <w:t>The data is based on the case received date.</w:t>
      </w:r>
    </w:p>
    <w:p w14:paraId="770D301D" w14:textId="4165E568" w:rsidR="00A0459D" w:rsidRPr="00A0459D" w:rsidRDefault="00A0459D" w:rsidP="00A0459D">
      <w:pPr>
        <w:rPr>
          <w:i/>
          <w:iCs/>
        </w:rPr>
      </w:pPr>
      <w:r w:rsidRPr="00A0459D">
        <w:rPr>
          <w:i/>
          <w:iCs/>
        </w:rPr>
        <w:t xml:space="preserve">Criminal allegations and complaints received against </w:t>
      </w:r>
      <w:r w:rsidR="0066798A">
        <w:rPr>
          <w:i/>
          <w:iCs/>
        </w:rPr>
        <w:t>PSD</w:t>
      </w:r>
      <w:r w:rsidRPr="00A0459D">
        <w:rPr>
          <w:i/>
          <w:iCs/>
        </w:rPr>
        <w:t>,</w:t>
      </w:r>
      <w:r w:rsidR="00910B1A">
        <w:rPr>
          <w:i/>
          <w:iCs/>
        </w:rPr>
        <w:t xml:space="preserve"> by category and financial year</w:t>
      </w:r>
    </w:p>
    <w:tbl>
      <w:tblPr>
        <w:tblW w:w="8537" w:type="dxa"/>
        <w:tblInd w:w="-8" w:type="dxa"/>
        <w:tblCellMar>
          <w:left w:w="0" w:type="dxa"/>
          <w:right w:w="0" w:type="dxa"/>
        </w:tblCellMar>
        <w:tblLook w:val="04A0" w:firstRow="1" w:lastRow="0" w:firstColumn="1" w:lastColumn="0" w:noHBand="0" w:noVBand="1"/>
      </w:tblPr>
      <w:tblGrid>
        <w:gridCol w:w="3117"/>
        <w:gridCol w:w="1084"/>
        <w:gridCol w:w="1084"/>
        <w:gridCol w:w="1084"/>
        <w:gridCol w:w="1084"/>
        <w:gridCol w:w="1084"/>
      </w:tblGrid>
      <w:tr w:rsidR="00A0459D" w:rsidRPr="00A0459D" w14:paraId="64EF1522" w14:textId="77777777" w:rsidTr="00A0459D">
        <w:trPr>
          <w:trHeight w:val="315"/>
        </w:trPr>
        <w:tc>
          <w:tcPr>
            <w:tcW w:w="311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06B30A9E" w14:textId="77777777" w:rsidR="00A0459D" w:rsidRPr="00A0459D" w:rsidRDefault="00A0459D" w:rsidP="00A0459D">
            <w:pPr>
              <w:spacing w:line="240" w:lineRule="auto"/>
              <w:rPr>
                <w:b/>
                <w:bCs/>
              </w:rPr>
            </w:pPr>
            <w:r w:rsidRPr="00A0459D">
              <w:rPr>
                <w:b/>
                <w:bCs/>
              </w:rPr>
              <w:t>Category</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1DAB117D" w14:textId="77777777" w:rsidR="00A0459D" w:rsidRPr="00A0459D" w:rsidRDefault="00A0459D" w:rsidP="00A0459D">
            <w:pPr>
              <w:spacing w:line="240" w:lineRule="auto"/>
              <w:rPr>
                <w:b/>
                <w:bCs/>
              </w:rPr>
            </w:pPr>
            <w:r w:rsidRPr="00A0459D">
              <w:rPr>
                <w:b/>
                <w:bCs/>
              </w:rPr>
              <w:t>2018/19</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46CAA3D4" w14:textId="77777777" w:rsidR="00A0459D" w:rsidRPr="00A0459D" w:rsidRDefault="00A0459D" w:rsidP="00A0459D">
            <w:pPr>
              <w:spacing w:line="240" w:lineRule="auto"/>
              <w:rPr>
                <w:b/>
                <w:bCs/>
              </w:rPr>
            </w:pPr>
            <w:r w:rsidRPr="00A0459D">
              <w:rPr>
                <w:b/>
                <w:bCs/>
              </w:rPr>
              <w:t>2019/20</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6FBD76D" w14:textId="77777777" w:rsidR="00A0459D" w:rsidRPr="00A0459D" w:rsidRDefault="00A0459D" w:rsidP="00A0459D">
            <w:pPr>
              <w:spacing w:line="240" w:lineRule="auto"/>
              <w:rPr>
                <w:b/>
                <w:bCs/>
              </w:rPr>
            </w:pPr>
            <w:r w:rsidRPr="00A0459D">
              <w:rPr>
                <w:b/>
                <w:bCs/>
              </w:rPr>
              <w:t>2020/21</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6846183" w14:textId="77777777" w:rsidR="00A0459D" w:rsidRPr="00A0459D" w:rsidRDefault="00A0459D" w:rsidP="00A0459D">
            <w:pPr>
              <w:spacing w:line="240" w:lineRule="auto"/>
              <w:rPr>
                <w:b/>
                <w:bCs/>
              </w:rPr>
            </w:pPr>
            <w:r w:rsidRPr="00A0459D">
              <w:rPr>
                <w:b/>
                <w:bCs/>
              </w:rPr>
              <w:t>2021/22</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F9DD486" w14:textId="77777777" w:rsidR="00A0459D" w:rsidRPr="00A0459D" w:rsidRDefault="00A0459D" w:rsidP="00A0459D">
            <w:pPr>
              <w:spacing w:line="240" w:lineRule="auto"/>
              <w:rPr>
                <w:b/>
                <w:bCs/>
              </w:rPr>
            </w:pPr>
            <w:r w:rsidRPr="00A0459D">
              <w:rPr>
                <w:b/>
                <w:bCs/>
              </w:rPr>
              <w:t>2022/23</w:t>
            </w:r>
          </w:p>
        </w:tc>
      </w:tr>
      <w:tr w:rsidR="00A0459D" w:rsidRPr="00A0459D" w14:paraId="3BCCC3BA" w14:textId="77777777" w:rsidTr="00A0459D">
        <w:trPr>
          <w:trHeight w:val="315"/>
        </w:trPr>
        <w:tc>
          <w:tcPr>
            <w:tcW w:w="3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0AAE51" w14:textId="77777777" w:rsidR="00A0459D" w:rsidRPr="00A0459D" w:rsidRDefault="00A0459D" w:rsidP="00A0459D">
            <w:pPr>
              <w:spacing w:line="240" w:lineRule="auto"/>
            </w:pPr>
            <w:r w:rsidRPr="00A0459D">
              <w:t>Number of allegations</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CE21A9" w14:textId="77777777" w:rsidR="00A0459D" w:rsidRPr="00A0459D" w:rsidRDefault="00A0459D" w:rsidP="00A0459D">
            <w:pPr>
              <w:spacing w:line="240" w:lineRule="auto"/>
            </w:pPr>
            <w:r w:rsidRPr="00A0459D">
              <w:t>3</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EE07C3" w14:textId="77777777" w:rsidR="00A0459D" w:rsidRPr="00A0459D" w:rsidRDefault="00A0459D" w:rsidP="00A0459D">
            <w:pPr>
              <w:spacing w:line="240" w:lineRule="auto"/>
            </w:pPr>
            <w:r w:rsidRPr="00A0459D">
              <w:t>5</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ACCCF6" w14:textId="77777777" w:rsidR="00A0459D" w:rsidRPr="00A0459D" w:rsidRDefault="00A0459D" w:rsidP="00A0459D">
            <w:pPr>
              <w:spacing w:line="240" w:lineRule="auto"/>
            </w:pPr>
            <w:r w:rsidRPr="00A0459D">
              <w:t>2</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3FBC6E" w14:textId="77777777" w:rsidR="00A0459D" w:rsidRPr="00A0459D" w:rsidRDefault="00A0459D" w:rsidP="00A0459D">
            <w:pPr>
              <w:spacing w:line="240" w:lineRule="auto"/>
            </w:pPr>
            <w:r w:rsidRPr="00A0459D">
              <w:t>1</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2C913E" w14:textId="77777777" w:rsidR="00A0459D" w:rsidRPr="00A0459D" w:rsidRDefault="00A0459D" w:rsidP="00A0459D">
            <w:pPr>
              <w:spacing w:line="240" w:lineRule="auto"/>
            </w:pPr>
            <w:r w:rsidRPr="00A0459D">
              <w:t>0</w:t>
            </w:r>
          </w:p>
        </w:tc>
      </w:tr>
      <w:tr w:rsidR="00A0459D" w:rsidRPr="00A0459D" w14:paraId="2CB41D08" w14:textId="77777777" w:rsidTr="00A0459D">
        <w:trPr>
          <w:trHeight w:val="315"/>
        </w:trPr>
        <w:tc>
          <w:tcPr>
            <w:tcW w:w="311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7D85FF" w14:textId="77777777" w:rsidR="00A0459D" w:rsidRPr="00A0459D" w:rsidRDefault="00A0459D" w:rsidP="00A0459D">
            <w:pPr>
              <w:spacing w:line="240" w:lineRule="auto"/>
            </w:pPr>
            <w:r w:rsidRPr="00A0459D">
              <w:t>Number of cases</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8A4FCC" w14:textId="77777777" w:rsidR="00A0459D" w:rsidRPr="00A0459D" w:rsidRDefault="00A0459D" w:rsidP="00A0459D">
            <w:pPr>
              <w:spacing w:line="240" w:lineRule="auto"/>
            </w:pPr>
            <w:r w:rsidRPr="00A0459D">
              <w:t>3</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3F584" w14:textId="77777777" w:rsidR="00A0459D" w:rsidRPr="00A0459D" w:rsidRDefault="00A0459D" w:rsidP="00A0459D">
            <w:pPr>
              <w:spacing w:line="240" w:lineRule="auto"/>
            </w:pPr>
            <w:r w:rsidRPr="00A0459D">
              <w:t>4</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8E8978" w14:textId="77777777" w:rsidR="00A0459D" w:rsidRPr="00A0459D" w:rsidRDefault="00A0459D" w:rsidP="00A0459D">
            <w:pPr>
              <w:spacing w:line="240" w:lineRule="auto"/>
            </w:pPr>
            <w:r w:rsidRPr="00A0459D">
              <w:t>1</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3C8322" w14:textId="77777777" w:rsidR="00A0459D" w:rsidRPr="00A0459D" w:rsidRDefault="00A0459D" w:rsidP="00A0459D">
            <w:pPr>
              <w:spacing w:line="240" w:lineRule="auto"/>
            </w:pPr>
            <w:r w:rsidRPr="00A0459D">
              <w:t>1</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7F6E37" w14:textId="77777777" w:rsidR="00A0459D" w:rsidRPr="00A0459D" w:rsidRDefault="00A0459D" w:rsidP="00A0459D">
            <w:pPr>
              <w:spacing w:line="240" w:lineRule="auto"/>
            </w:pPr>
            <w:r w:rsidRPr="00A0459D">
              <w:t>0</w:t>
            </w:r>
          </w:p>
        </w:tc>
      </w:tr>
    </w:tbl>
    <w:p w14:paraId="71898AFF" w14:textId="17DCDF35" w:rsidR="00A0459D" w:rsidRPr="005B383E" w:rsidRDefault="00A0459D" w:rsidP="00A0459D">
      <w:pPr>
        <w:rPr>
          <w:i/>
          <w:iCs/>
          <w:sz w:val="20"/>
          <w:szCs w:val="20"/>
        </w:rPr>
      </w:pPr>
    </w:p>
    <w:p w14:paraId="60AC6081" w14:textId="77777777" w:rsidR="00A0459D" w:rsidRDefault="00A0459D" w:rsidP="00A0459D">
      <w:pPr>
        <w:pStyle w:val="Heading2"/>
      </w:pPr>
      <w:r w:rsidRPr="00A0459D">
        <w:t>The number of criminal complaints against the Police over the last 5 years where the Crown Office advised PSD there were suitable grounds for prosecution.</w:t>
      </w:r>
    </w:p>
    <w:p w14:paraId="0DD0FB2B" w14:textId="09615C6A" w:rsidR="0062373E" w:rsidRDefault="0062373E" w:rsidP="00C97AB3">
      <w:pPr>
        <w:rPr>
          <w:lang w:eastAsia="en-GB"/>
        </w:rPr>
      </w:pPr>
      <w:r>
        <w:rPr>
          <w:lang w:eastAsia="en-GB"/>
        </w:rPr>
        <w:t xml:space="preserve">For clarity in </w:t>
      </w:r>
      <w:r w:rsidR="00C345AA">
        <w:rPr>
          <w:lang w:eastAsia="en-GB"/>
        </w:rPr>
        <w:t>responding to</w:t>
      </w:r>
      <w:r>
        <w:rPr>
          <w:lang w:eastAsia="en-GB"/>
        </w:rPr>
        <w:t xml:space="preserve"> your question, ‘criminal complaints’ has been interpreted as the case grade ‘Criminal Complaints’ therefore ‘Non-Criminal</w:t>
      </w:r>
      <w:r w:rsidR="00C345AA">
        <w:rPr>
          <w:lang w:eastAsia="en-GB"/>
        </w:rPr>
        <w:t xml:space="preserve"> Complaint</w:t>
      </w:r>
      <w:r w:rsidR="000164FB">
        <w:rPr>
          <w:lang w:eastAsia="en-GB"/>
        </w:rPr>
        <w:t>s</w:t>
      </w:r>
      <w:r>
        <w:rPr>
          <w:lang w:eastAsia="en-GB"/>
        </w:rPr>
        <w:t>’ have been excluded.</w:t>
      </w:r>
    </w:p>
    <w:p w14:paraId="2CBB5DEF" w14:textId="1834CE03" w:rsidR="00C97AB3" w:rsidRDefault="00C97AB3" w:rsidP="00C97AB3">
      <w:pPr>
        <w:rPr>
          <w:color w:val="000000"/>
          <w:lang w:eastAsia="en-GB"/>
        </w:rPr>
      </w:pPr>
      <w:r>
        <w:rPr>
          <w:lang w:eastAsia="en-GB"/>
        </w:rPr>
        <w:t>‘Suitable g</w:t>
      </w:r>
      <w:r w:rsidRPr="00713615">
        <w:rPr>
          <w:color w:val="000000"/>
          <w:lang w:eastAsia="en-GB"/>
        </w:rPr>
        <w:t>rounds for prosecution</w:t>
      </w:r>
      <w:r w:rsidRPr="00713615">
        <w:rPr>
          <w:color w:val="1F497D"/>
          <w:lang w:eastAsia="en-GB"/>
        </w:rPr>
        <w:t>’</w:t>
      </w:r>
      <w:r w:rsidRPr="00713615">
        <w:rPr>
          <w:color w:val="000000"/>
          <w:lang w:eastAsia="en-GB"/>
        </w:rPr>
        <w:t xml:space="preserve"> has </w:t>
      </w:r>
      <w:r w:rsidRPr="00713615">
        <w:rPr>
          <w:lang w:eastAsia="en-GB"/>
        </w:rPr>
        <w:t>been interpreted as</w:t>
      </w:r>
      <w:r w:rsidR="009D7939">
        <w:rPr>
          <w:lang w:eastAsia="en-GB"/>
        </w:rPr>
        <w:t xml:space="preserve"> Criminal</w:t>
      </w:r>
      <w:r w:rsidR="000164FB">
        <w:rPr>
          <w:lang w:eastAsia="en-GB"/>
        </w:rPr>
        <w:t xml:space="preserve"> c</w:t>
      </w:r>
      <w:r w:rsidRPr="00713615">
        <w:rPr>
          <w:lang w:eastAsia="en-GB"/>
        </w:rPr>
        <w:t xml:space="preserve">omplaints reported </w:t>
      </w:r>
      <w:r>
        <w:rPr>
          <w:color w:val="000000"/>
          <w:lang w:eastAsia="en-GB"/>
        </w:rPr>
        <w:t>to the C</w:t>
      </w:r>
      <w:r w:rsidR="001E1080">
        <w:rPr>
          <w:color w:val="000000"/>
          <w:lang w:eastAsia="en-GB"/>
        </w:rPr>
        <w:t xml:space="preserve">rown </w:t>
      </w:r>
      <w:r>
        <w:rPr>
          <w:color w:val="000000"/>
          <w:lang w:eastAsia="en-GB"/>
        </w:rPr>
        <w:t>O</w:t>
      </w:r>
      <w:r w:rsidR="001E1080">
        <w:rPr>
          <w:color w:val="000000"/>
          <w:lang w:eastAsia="en-GB"/>
        </w:rPr>
        <w:t xml:space="preserve">ffice </w:t>
      </w:r>
      <w:r>
        <w:rPr>
          <w:color w:val="000000"/>
          <w:lang w:eastAsia="en-GB"/>
        </w:rPr>
        <w:t>P</w:t>
      </w:r>
      <w:r w:rsidR="001E1080">
        <w:rPr>
          <w:color w:val="000000"/>
          <w:lang w:eastAsia="en-GB"/>
        </w:rPr>
        <w:t xml:space="preserve">rocurator </w:t>
      </w:r>
      <w:r>
        <w:rPr>
          <w:color w:val="000000"/>
          <w:lang w:eastAsia="en-GB"/>
        </w:rPr>
        <w:t>F</w:t>
      </w:r>
      <w:r w:rsidR="001E1080">
        <w:rPr>
          <w:color w:val="000000"/>
          <w:lang w:eastAsia="en-GB"/>
        </w:rPr>
        <w:t xml:space="preserve">iscal </w:t>
      </w:r>
      <w:r>
        <w:rPr>
          <w:color w:val="000000"/>
          <w:lang w:eastAsia="en-GB"/>
        </w:rPr>
        <w:t>S</w:t>
      </w:r>
      <w:r w:rsidR="001E1080">
        <w:rPr>
          <w:color w:val="000000"/>
          <w:lang w:eastAsia="en-GB"/>
        </w:rPr>
        <w:t>ervice (COPFS)</w:t>
      </w:r>
      <w:r w:rsidRPr="00713615">
        <w:rPr>
          <w:color w:val="000000"/>
          <w:lang w:eastAsia="en-GB"/>
        </w:rPr>
        <w:t xml:space="preserve"> which </w:t>
      </w:r>
      <w:r w:rsidR="00881889">
        <w:rPr>
          <w:color w:val="000000"/>
          <w:lang w:eastAsia="en-GB"/>
        </w:rPr>
        <w:t xml:space="preserve">they (COPFS) advised PSD </w:t>
      </w:r>
      <w:r w:rsidR="00C630AE">
        <w:rPr>
          <w:color w:val="000000"/>
          <w:lang w:eastAsia="en-GB"/>
        </w:rPr>
        <w:t>resulted</w:t>
      </w:r>
      <w:r w:rsidRPr="00713615">
        <w:rPr>
          <w:color w:val="000000"/>
          <w:lang w:eastAsia="en-GB"/>
        </w:rPr>
        <w:t xml:space="preserve"> in criminal proceedings.</w:t>
      </w:r>
    </w:p>
    <w:p w14:paraId="20A7A98C" w14:textId="77777777" w:rsidR="000B5D90" w:rsidRDefault="001E1080" w:rsidP="00A0459D">
      <w:pPr>
        <w:rPr>
          <w:color w:val="000000"/>
          <w:lang w:eastAsia="en-GB"/>
        </w:rPr>
      </w:pPr>
      <w:r>
        <w:rPr>
          <w:color w:val="000000"/>
          <w:lang w:eastAsia="en-GB"/>
        </w:rPr>
        <w:t xml:space="preserve">Cases currently under </w:t>
      </w:r>
      <w:r w:rsidR="00BE7113">
        <w:rPr>
          <w:color w:val="000000"/>
          <w:lang w:eastAsia="en-GB"/>
        </w:rPr>
        <w:t>consideration</w:t>
      </w:r>
      <w:r>
        <w:rPr>
          <w:color w:val="000000"/>
          <w:lang w:eastAsia="en-GB"/>
        </w:rPr>
        <w:t xml:space="preserve"> by COPFS</w:t>
      </w:r>
      <w:r w:rsidR="00823DF0">
        <w:rPr>
          <w:color w:val="000000"/>
          <w:lang w:eastAsia="en-GB"/>
        </w:rPr>
        <w:t xml:space="preserve"> </w:t>
      </w:r>
      <w:r>
        <w:rPr>
          <w:color w:val="000000"/>
          <w:lang w:eastAsia="en-GB"/>
        </w:rPr>
        <w:t xml:space="preserve">are excluded as no decision has been </w:t>
      </w:r>
      <w:r w:rsidR="00BE7113">
        <w:rPr>
          <w:color w:val="000000"/>
          <w:lang w:eastAsia="en-GB"/>
        </w:rPr>
        <w:t>communicated with PSD</w:t>
      </w:r>
      <w:r>
        <w:rPr>
          <w:color w:val="000000"/>
          <w:lang w:eastAsia="en-GB"/>
        </w:rPr>
        <w:t xml:space="preserve"> as at 31/08/2023.</w:t>
      </w:r>
      <w:r w:rsidR="00823DF0">
        <w:rPr>
          <w:color w:val="000000"/>
          <w:lang w:eastAsia="en-GB"/>
        </w:rPr>
        <w:t xml:space="preserve">  </w:t>
      </w:r>
    </w:p>
    <w:p w14:paraId="4FFF0EDA" w14:textId="1C7A7358" w:rsidR="00A0459D" w:rsidRPr="00E972F5" w:rsidRDefault="00823DF0" w:rsidP="00A0459D">
      <w:pPr>
        <w:rPr>
          <w:color w:val="000000"/>
          <w:lang w:eastAsia="en-GB"/>
        </w:rPr>
      </w:pPr>
      <w:r>
        <w:rPr>
          <w:color w:val="000000"/>
          <w:lang w:eastAsia="en-GB"/>
        </w:rPr>
        <w:t xml:space="preserve">Many of these </w:t>
      </w:r>
      <w:r w:rsidR="00881889">
        <w:rPr>
          <w:color w:val="000000"/>
          <w:lang w:eastAsia="en-GB"/>
        </w:rPr>
        <w:t xml:space="preserve">outstanding </w:t>
      </w:r>
      <w:r>
        <w:rPr>
          <w:color w:val="000000"/>
          <w:lang w:eastAsia="en-GB"/>
        </w:rPr>
        <w:t>cases relate to the financial year 2022/23.</w:t>
      </w:r>
    </w:p>
    <w:tbl>
      <w:tblPr>
        <w:tblW w:w="8539" w:type="dxa"/>
        <w:tblInd w:w="-8" w:type="dxa"/>
        <w:tblCellMar>
          <w:left w:w="0" w:type="dxa"/>
          <w:right w:w="0" w:type="dxa"/>
        </w:tblCellMar>
        <w:tblLook w:val="04A0" w:firstRow="1" w:lastRow="0" w:firstColumn="1" w:lastColumn="0" w:noHBand="0" w:noVBand="1"/>
      </w:tblPr>
      <w:tblGrid>
        <w:gridCol w:w="3967"/>
        <w:gridCol w:w="1084"/>
        <w:gridCol w:w="1084"/>
        <w:gridCol w:w="1084"/>
        <w:gridCol w:w="1084"/>
        <w:gridCol w:w="1084"/>
      </w:tblGrid>
      <w:tr w:rsidR="00713615" w:rsidRPr="00713615" w14:paraId="14D86EE1" w14:textId="77777777" w:rsidTr="00E972F5">
        <w:trPr>
          <w:trHeight w:val="315"/>
        </w:trPr>
        <w:tc>
          <w:tcPr>
            <w:tcW w:w="3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54A1022" w14:textId="77777777" w:rsidR="00713615" w:rsidRPr="00713615" w:rsidRDefault="00713615" w:rsidP="00713615">
            <w:pPr>
              <w:spacing w:line="240" w:lineRule="auto"/>
              <w:rPr>
                <w:b/>
                <w:bCs/>
              </w:rPr>
            </w:pPr>
            <w:r w:rsidRPr="00713615">
              <w:rPr>
                <w:b/>
                <w:bCs/>
              </w:rPr>
              <w:t>Category</w:t>
            </w:r>
          </w:p>
        </w:tc>
        <w:tc>
          <w:tcPr>
            <w:tcW w:w="236"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2559A678" w14:textId="77777777" w:rsidR="00713615" w:rsidRPr="00713615" w:rsidRDefault="00713615" w:rsidP="00713615">
            <w:pPr>
              <w:spacing w:line="240" w:lineRule="auto"/>
              <w:rPr>
                <w:b/>
                <w:bCs/>
              </w:rPr>
            </w:pPr>
            <w:r w:rsidRPr="00713615">
              <w:rPr>
                <w:b/>
                <w:bCs/>
              </w:rPr>
              <w:t>2018/19</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7B541352" w14:textId="77777777" w:rsidR="00713615" w:rsidRPr="00713615" w:rsidRDefault="00713615" w:rsidP="00713615">
            <w:pPr>
              <w:spacing w:line="240" w:lineRule="auto"/>
              <w:rPr>
                <w:b/>
                <w:bCs/>
              </w:rPr>
            </w:pPr>
            <w:r w:rsidRPr="00713615">
              <w:rPr>
                <w:b/>
                <w:bCs/>
              </w:rPr>
              <w:t>2019/20</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637626CD" w14:textId="77777777" w:rsidR="00713615" w:rsidRPr="00713615" w:rsidRDefault="00713615" w:rsidP="00713615">
            <w:pPr>
              <w:spacing w:line="240" w:lineRule="auto"/>
              <w:rPr>
                <w:b/>
                <w:bCs/>
              </w:rPr>
            </w:pPr>
            <w:r w:rsidRPr="00713615">
              <w:rPr>
                <w:b/>
                <w:bCs/>
              </w:rPr>
              <w:t>2020/21</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46BB639C" w14:textId="77777777" w:rsidR="00713615" w:rsidRPr="00713615" w:rsidRDefault="00713615" w:rsidP="00713615">
            <w:pPr>
              <w:spacing w:line="240" w:lineRule="auto"/>
              <w:rPr>
                <w:b/>
                <w:bCs/>
              </w:rPr>
            </w:pPr>
            <w:r w:rsidRPr="00713615">
              <w:rPr>
                <w:b/>
                <w:bCs/>
              </w:rPr>
              <w:t>2021/22</w:t>
            </w:r>
          </w:p>
        </w:tc>
        <w:tc>
          <w:tcPr>
            <w:tcW w:w="1084"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vAlign w:val="bottom"/>
            <w:hideMark/>
          </w:tcPr>
          <w:p w14:paraId="1DE9290C" w14:textId="77777777" w:rsidR="00713615" w:rsidRPr="00713615" w:rsidRDefault="00713615" w:rsidP="00713615">
            <w:pPr>
              <w:spacing w:line="240" w:lineRule="auto"/>
              <w:rPr>
                <w:b/>
                <w:bCs/>
              </w:rPr>
            </w:pPr>
            <w:r w:rsidRPr="00713615">
              <w:rPr>
                <w:b/>
                <w:bCs/>
              </w:rPr>
              <w:t>2022/23</w:t>
            </w:r>
          </w:p>
        </w:tc>
      </w:tr>
      <w:tr w:rsidR="00713615" w:rsidRPr="00713615" w14:paraId="520300A8" w14:textId="77777777" w:rsidTr="00E972F5">
        <w:trPr>
          <w:trHeight w:val="315"/>
        </w:trPr>
        <w:tc>
          <w:tcPr>
            <w:tcW w:w="39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226615" w14:textId="37CBB20D" w:rsidR="00713615" w:rsidRPr="00713615" w:rsidRDefault="0052773E" w:rsidP="00823DF0">
            <w:pPr>
              <w:spacing w:line="240" w:lineRule="auto"/>
            </w:pPr>
            <w:r>
              <w:t xml:space="preserve">Criminal </w:t>
            </w:r>
            <w:r w:rsidR="00C97AB3">
              <w:t xml:space="preserve">complaints </w:t>
            </w:r>
            <w:r w:rsidR="00823DF0">
              <w:t>resulting</w:t>
            </w:r>
            <w:r w:rsidR="00C97AB3">
              <w:t xml:space="preserve"> in criminal proceedings</w:t>
            </w:r>
          </w:p>
        </w:tc>
        <w:tc>
          <w:tcPr>
            <w:tcW w:w="2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B32440" w14:textId="77777777" w:rsidR="00713615" w:rsidRPr="00713615" w:rsidRDefault="00713615" w:rsidP="00713615">
            <w:pPr>
              <w:spacing w:line="240" w:lineRule="auto"/>
            </w:pPr>
            <w:r w:rsidRPr="00713615">
              <w:t>3</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825EF4" w14:textId="77777777" w:rsidR="00713615" w:rsidRPr="00713615" w:rsidRDefault="00713615" w:rsidP="00713615">
            <w:pPr>
              <w:spacing w:line="240" w:lineRule="auto"/>
            </w:pPr>
            <w:r w:rsidRPr="00713615">
              <w:t>4</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8176DB" w14:textId="77777777" w:rsidR="00713615" w:rsidRPr="00713615" w:rsidRDefault="00713615" w:rsidP="00713615">
            <w:pPr>
              <w:spacing w:line="240" w:lineRule="auto"/>
            </w:pPr>
            <w:r w:rsidRPr="00713615">
              <w:t>4</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B97C95" w14:textId="77777777" w:rsidR="00713615" w:rsidRPr="00713615" w:rsidRDefault="00713615" w:rsidP="00713615">
            <w:pPr>
              <w:spacing w:line="240" w:lineRule="auto"/>
            </w:pPr>
            <w:r w:rsidRPr="00713615">
              <w:t>5</w:t>
            </w:r>
          </w:p>
        </w:tc>
        <w:tc>
          <w:tcPr>
            <w:tcW w:w="10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ED55D7" w14:textId="77777777" w:rsidR="00713615" w:rsidRPr="00713615" w:rsidRDefault="00713615" w:rsidP="00713615">
            <w:pPr>
              <w:spacing w:line="240" w:lineRule="auto"/>
            </w:pPr>
            <w:r w:rsidRPr="00713615">
              <w:t>1</w:t>
            </w:r>
          </w:p>
        </w:tc>
      </w:tr>
    </w:tbl>
    <w:p w14:paraId="371E30C7" w14:textId="77777777" w:rsidR="00A0459D" w:rsidRPr="00A0459D" w:rsidRDefault="00A0459D" w:rsidP="00A0459D"/>
    <w:p w14:paraId="2F307C5A" w14:textId="55007E49" w:rsidR="00E972F5" w:rsidRDefault="00A0459D" w:rsidP="00A0459D">
      <w:pPr>
        <w:pStyle w:val="Heading2"/>
      </w:pPr>
      <w:r w:rsidRPr="00E972F5">
        <w:lastRenderedPageBreak/>
        <w:t xml:space="preserve">The number of investigated (excluding front line resolution) complaints against the police over the last 5 years (broken down by year and identifying how many of these complaints made criminal allegations against the police). Identifying how many of these were resolved in the required time </w:t>
      </w:r>
      <w:r w:rsidR="00FF3491" w:rsidRPr="00E972F5">
        <w:t>and how many complaints took longer than 6 months to investigate, and how many took longer than a year to investigate again identifying the spilt between complaints and criminal complaints against the Police.</w:t>
      </w:r>
    </w:p>
    <w:p w14:paraId="6E38B393" w14:textId="0B22E6E4" w:rsidR="00E972F5" w:rsidRPr="00E972F5" w:rsidRDefault="00FF3491" w:rsidP="00E972F5">
      <w:r>
        <w:t>T</w:t>
      </w:r>
      <w:r w:rsidR="00E972F5" w:rsidRPr="00E972F5">
        <w:t xml:space="preserve">he ‘required time’ has been interpreted as the 56 day timescale set out in the </w:t>
      </w:r>
      <w:hyperlink r:id="rId9" w:history="1">
        <w:r w:rsidR="00E972F5" w:rsidRPr="00E972F5">
          <w:rPr>
            <w:rStyle w:val="Hyperlink"/>
          </w:rPr>
          <w:t>PIRC Statutory Guidance</w:t>
        </w:r>
      </w:hyperlink>
      <w:r w:rsidR="00E972F5" w:rsidRPr="00E972F5">
        <w:t xml:space="preserve"> on the handling of complaints about the police which require investigation in Scotland.</w:t>
      </w:r>
    </w:p>
    <w:p w14:paraId="126BC027" w14:textId="5E47C5CB" w:rsidR="002B51CE" w:rsidRDefault="00FF3491" w:rsidP="00FF3491">
      <w:r>
        <w:t>I</w:t>
      </w:r>
      <w:r w:rsidR="002B51CE">
        <w:t>nformation regarding compliance with the 56 day period can be found in our quarterly performance reports which are available online via the Scottish Police Authority</w:t>
      </w:r>
      <w:r w:rsidR="00E94F32">
        <w:t xml:space="preserve"> (SPA)</w:t>
      </w:r>
      <w:r w:rsidR="002B51CE">
        <w:t xml:space="preserve"> website:</w:t>
      </w:r>
    </w:p>
    <w:p w14:paraId="36E9D38C" w14:textId="78173F59" w:rsidR="005875F7" w:rsidRPr="00E972F5" w:rsidRDefault="009544ED" w:rsidP="00E972F5">
      <w:hyperlink r:id="rId10" w:history="1">
        <w:r w:rsidR="005875F7">
          <w:rPr>
            <w:rStyle w:val="Hyperlink"/>
          </w:rPr>
          <w:t>Police Scotland Professional Standards Quarterly Performance Report (Q1 - 23/24) - 22 August 2023 | Scottish Police Authority (spa.police.uk)</w:t>
        </w:r>
      </w:hyperlink>
    </w:p>
    <w:p w14:paraId="37778F3E" w14:textId="4DDA25A2" w:rsidR="00A0459D" w:rsidRDefault="00FF3491" w:rsidP="003D6D03">
      <w:r>
        <w:t>Beyond that, t</w:t>
      </w:r>
      <w:r w:rsidR="00E972F5">
        <w:t xml:space="preserve">he information sought in this </w:t>
      </w:r>
      <w:r>
        <w:t>part of your request</w:t>
      </w:r>
      <w:r w:rsidR="00E972F5">
        <w:t xml:space="preserve"> is not routinely collated by Police Scotland.</w:t>
      </w:r>
    </w:p>
    <w:p w14:paraId="40A17059" w14:textId="77777777" w:rsidR="002B51CE" w:rsidRDefault="00E972F5" w:rsidP="002B51CE">
      <w:r>
        <w:t xml:space="preserve">As explained above, </w:t>
      </w:r>
      <w:r w:rsidR="002B51CE">
        <w:t>t</w:t>
      </w:r>
      <w:r w:rsidR="002B51CE" w:rsidRPr="001856EC">
        <w:t>he aim for Police Scotland is to respond to complaints requiring investigation within 56 days of receipt, as set out in PIRC Statutory Guidance</w:t>
      </w:r>
      <w:r w:rsidR="002B51CE">
        <w:t>.</w:t>
      </w:r>
    </w:p>
    <w:p w14:paraId="78FA112C" w14:textId="0144F947" w:rsidR="002B51CE" w:rsidRDefault="002B51CE" w:rsidP="002B51CE">
      <w:r>
        <w:t>H</w:t>
      </w:r>
      <w:r w:rsidRPr="001856EC">
        <w:t>owever, complaints vary in complexity and seriousness which may impact on the lengt</w:t>
      </w:r>
      <w:r>
        <w:t>h of time required to investigate and reach a conclusion.</w:t>
      </w:r>
    </w:p>
    <w:p w14:paraId="403523A1" w14:textId="345476F9" w:rsidR="002B51CE" w:rsidRDefault="002B51CE" w:rsidP="002B51CE">
      <w:r>
        <w:t xml:space="preserve">Compliance with the 56 day period is based on the </w:t>
      </w:r>
      <w:r w:rsidRPr="00BE578B">
        <w:t>difference between the case received and the case closed date</w:t>
      </w:r>
      <w:r>
        <w:t>.</w:t>
      </w:r>
    </w:p>
    <w:p w14:paraId="51A4A424" w14:textId="3605FC25" w:rsidR="002B51CE" w:rsidRDefault="002B51CE" w:rsidP="002B51CE">
      <w:r>
        <w:t>Whilst the difference between those two dates can provide a baseline figure for reporting, there are many cases where the resultant period will include extended periods of time where the case was, for example, abandoned by the complainer.</w:t>
      </w:r>
    </w:p>
    <w:p w14:paraId="3439CBF3" w14:textId="2702A566" w:rsidR="002B51CE" w:rsidRDefault="005875F7" w:rsidP="002B51CE">
      <w:r>
        <w:t>To illustrate -</w:t>
      </w:r>
      <w:r w:rsidR="002B51CE">
        <w:t xml:space="preserve"> the difference between the two dates might be 12 months but the case was actually only live for 2 month</w:t>
      </w:r>
      <w:r>
        <w:t xml:space="preserve"> period having been abandoned by the complainer for 10 months prior</w:t>
      </w:r>
      <w:r w:rsidR="002B51CE">
        <w:t>.</w:t>
      </w:r>
    </w:p>
    <w:p w14:paraId="08B09647" w14:textId="640AADFD" w:rsidR="002B51CE" w:rsidRDefault="002B51CE" w:rsidP="002B51CE">
      <w:r>
        <w:t xml:space="preserve">In relation to your request, you have asked about the time taken to </w:t>
      </w:r>
      <w:r>
        <w:rPr>
          <w:i/>
          <w:iCs/>
        </w:rPr>
        <w:t>investigate</w:t>
      </w:r>
      <w:r>
        <w:t xml:space="preserve"> the complaint.</w:t>
      </w:r>
    </w:p>
    <w:p w14:paraId="39F24540" w14:textId="0E90BA74" w:rsidR="005875F7" w:rsidRDefault="002B51CE" w:rsidP="002B51CE">
      <w:r>
        <w:lastRenderedPageBreak/>
        <w:t xml:space="preserve">For the reasons </w:t>
      </w:r>
      <w:r w:rsidR="003303C6">
        <w:t>set out</w:t>
      </w:r>
      <w:r>
        <w:t xml:space="preserve"> above, it </w:t>
      </w:r>
      <w:r w:rsidR="005875F7">
        <w:t>is</w:t>
      </w:r>
      <w:r>
        <w:t xml:space="preserve"> our assessment that a simple calculation between the two dates </w:t>
      </w:r>
      <w:r w:rsidR="005875F7">
        <w:t>does</w:t>
      </w:r>
      <w:r>
        <w:t xml:space="preserve"> not provide a true reflection</w:t>
      </w:r>
      <w:r w:rsidR="005875F7">
        <w:t xml:space="preserve"> of the time spent on investigation</w:t>
      </w:r>
      <w:r w:rsidR="003303C6">
        <w:t xml:space="preserve"> and that is particularly true for cases where the difference is an extended period of time.</w:t>
      </w:r>
    </w:p>
    <w:p w14:paraId="238E1540" w14:textId="36FB6055" w:rsidR="005875F7" w:rsidRDefault="002B51CE" w:rsidP="005875F7">
      <w:r>
        <w:t>Th</w:t>
      </w:r>
      <w:r w:rsidR="005875F7">
        <w:t xml:space="preserve">at said, we do accept that such data is held by Police Scotland and that it would arguably be within the scope of your request.  </w:t>
      </w:r>
    </w:p>
    <w:p w14:paraId="3475DEF9" w14:textId="38A5CE30" w:rsidR="002B51CE" w:rsidRDefault="002B51CE" w:rsidP="005875F7">
      <w:r>
        <w:t xml:space="preserve">I am </w:t>
      </w:r>
      <w:r w:rsidR="005875F7">
        <w:t xml:space="preserve">however, </w:t>
      </w:r>
      <w:r>
        <w:t>refusing to provide it in terms of s</w:t>
      </w:r>
      <w:r w:rsidRPr="00453F0A">
        <w:t>ection 16</w:t>
      </w:r>
      <w:r>
        <w:t xml:space="preserve">(1) of the Act on the basis that the </w:t>
      </w:r>
      <w:r w:rsidR="005875F7">
        <w:t>exemption set out at section 30(c) of the Act applies</w:t>
      </w:r>
      <w:r w:rsidR="00E94F32">
        <w:t>:</w:t>
      </w:r>
    </w:p>
    <w:p w14:paraId="7FCD77E5" w14:textId="12E11A68" w:rsidR="00E94F32" w:rsidRPr="00E94F32" w:rsidRDefault="00E94F32" w:rsidP="00E94F32">
      <w:pPr>
        <w:rPr>
          <w:i/>
          <w:iCs/>
        </w:rPr>
      </w:pPr>
      <w:r>
        <w:rPr>
          <w:i/>
          <w:iCs/>
        </w:rPr>
        <w:t>‘</w:t>
      </w:r>
      <w:r w:rsidRPr="00E94F32">
        <w:rPr>
          <w:i/>
          <w:iCs/>
        </w:rPr>
        <w:t>Information is exempt information if its disclosure under this Act would prejudice substantially, or be likely to prejudice substantially, the effective conduct of public affairs.</w:t>
      </w:r>
      <w:r>
        <w:rPr>
          <w:i/>
          <w:iCs/>
        </w:rPr>
        <w:t>’</w:t>
      </w:r>
    </w:p>
    <w:p w14:paraId="73923ED1" w14:textId="1D5C2F56" w:rsidR="005875F7" w:rsidRDefault="005875F7" w:rsidP="005875F7">
      <w:r>
        <w:t xml:space="preserve">As set out above, the measure for assessing the turn-around-times for complaints against the police is set out in the </w:t>
      </w:r>
      <w:hyperlink r:id="rId11" w:history="1">
        <w:r w:rsidRPr="00E972F5">
          <w:rPr>
            <w:rStyle w:val="Hyperlink"/>
          </w:rPr>
          <w:t>PIRC Statutory Guidance</w:t>
        </w:r>
      </w:hyperlink>
      <w:r w:rsidRPr="003D1381">
        <w:rPr>
          <w:rStyle w:val="Hyperlink"/>
          <w:u w:val="none"/>
        </w:rPr>
        <w:t xml:space="preserve"> </w:t>
      </w:r>
      <w:r>
        <w:t>at 56 days.</w:t>
      </w:r>
    </w:p>
    <w:p w14:paraId="6F3E6D52" w14:textId="37DD060F" w:rsidR="005875F7" w:rsidRDefault="005875F7" w:rsidP="005875F7">
      <w:r>
        <w:t xml:space="preserve">That measure is reported on </w:t>
      </w:r>
      <w:r w:rsidR="00E94F32">
        <w:t>both to PIRC and in our quarterly performance reports to the SPA.</w:t>
      </w:r>
    </w:p>
    <w:p w14:paraId="26F10C42" w14:textId="17BF6C36" w:rsidR="00A42271" w:rsidRDefault="00A42271" w:rsidP="005875F7">
      <w:r>
        <w:t xml:space="preserve">There are no </w:t>
      </w:r>
      <w:r w:rsidR="00661E34">
        <w:t xml:space="preserve">specific </w:t>
      </w:r>
      <w:r>
        <w:t>measures beyond the 56 days and for that reason, no detailed analysis is made as regards any periods that fall beyond that</w:t>
      </w:r>
      <w:r w:rsidR="0064626F">
        <w:t xml:space="preserve"> - f</w:t>
      </w:r>
      <w:r w:rsidR="00661E34">
        <w:t xml:space="preserve">or example, </w:t>
      </w:r>
      <w:r>
        <w:t>to full</w:t>
      </w:r>
      <w:r w:rsidR="00661E34">
        <w:t>y</w:t>
      </w:r>
      <w:r>
        <w:t xml:space="preserve"> ascertain the circumstances and attempt to calculate a </w:t>
      </w:r>
      <w:r w:rsidRPr="00661E34">
        <w:rPr>
          <w:i/>
          <w:iCs/>
        </w:rPr>
        <w:t>true measure</w:t>
      </w:r>
      <w:r>
        <w:t xml:space="preserve"> of the time spent on investigation.</w:t>
      </w:r>
    </w:p>
    <w:p w14:paraId="12E36FAD" w14:textId="39F9C4EC" w:rsidR="0064626F" w:rsidRDefault="0064626F" w:rsidP="005875F7">
      <w:r>
        <w:t>Such an exercise would clearly be significantly resource intensive.</w:t>
      </w:r>
    </w:p>
    <w:p w14:paraId="018FDFA8" w14:textId="0978E0FC" w:rsidR="00A42271" w:rsidRDefault="00661E34" w:rsidP="005875F7">
      <w:r>
        <w:t>It is our view that whilst data based on case received and case closed dates is held, it would provide a wholly inaccurate representation, not truly reflective of the complexities involved.</w:t>
      </w:r>
    </w:p>
    <w:p w14:paraId="4629E04D" w14:textId="44E4AEFD" w:rsidR="00661E34" w:rsidRDefault="00661E34" w:rsidP="005875F7">
      <w:pPr>
        <w:rPr>
          <w:rStyle w:val="Hyperlink"/>
        </w:rPr>
      </w:pPr>
      <w:r>
        <w:t xml:space="preserve">Given the </w:t>
      </w:r>
      <w:r w:rsidR="003D1381">
        <w:t xml:space="preserve">existing reporting procedures in place, it is our assessment that the public interest is sufficiently catered for by the publication of data regarding compliance with the 56 day timescale set out in the </w:t>
      </w:r>
      <w:hyperlink r:id="rId12" w:history="1">
        <w:r w:rsidR="003D1381" w:rsidRPr="00E972F5">
          <w:rPr>
            <w:rStyle w:val="Hyperlink"/>
          </w:rPr>
          <w:t>PIRC Statutory Guidance</w:t>
        </w:r>
      </w:hyperlink>
      <w:r w:rsidR="003D1381">
        <w:rPr>
          <w:rStyle w:val="Hyperlink"/>
        </w:rPr>
        <w:t>.</w:t>
      </w:r>
    </w:p>
    <w:p w14:paraId="3DB8A306" w14:textId="77777777" w:rsidR="00BD464B" w:rsidRDefault="00BD464B" w:rsidP="003D6D03"/>
    <w:p w14:paraId="7DFC36FE" w14:textId="77777777" w:rsidR="00496A08" w:rsidRPr="00BF6B81" w:rsidRDefault="00496A08" w:rsidP="00793DD5">
      <w:r>
        <w:t xml:space="preserve">If you require any further </w:t>
      </w:r>
      <w:r w:rsidRPr="00874BFD">
        <w:t>assistance</w:t>
      </w:r>
      <w:r>
        <w:t xml:space="preserve"> please contact us quoting the reference above.</w:t>
      </w:r>
    </w:p>
    <w:p w14:paraId="4FD6BBE3"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BF2D8FD"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2E7B66D6" w14:textId="77777777" w:rsidR="00B461B2" w:rsidRDefault="00496A08" w:rsidP="00793DD5">
      <w:r w:rsidRPr="007C470A">
        <w:t>Following an OSIC appeal, you can appeal to the Court of Session on a point of law only.</w:t>
      </w:r>
      <w:r w:rsidR="00D47E36">
        <w:t xml:space="preserve"> </w:t>
      </w:r>
    </w:p>
    <w:p w14:paraId="4F24DC35"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5420CD7F"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09785EBA"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308C" w14:textId="77777777" w:rsidR="00195CC4" w:rsidRDefault="00195CC4" w:rsidP="00491644">
      <w:r>
        <w:separator/>
      </w:r>
    </w:p>
  </w:endnote>
  <w:endnote w:type="continuationSeparator" w:id="0">
    <w:p w14:paraId="12261039"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417A" w14:textId="77777777" w:rsidR="00491644" w:rsidRDefault="00491644">
    <w:pPr>
      <w:pStyle w:val="Footer"/>
    </w:pPr>
  </w:p>
  <w:p w14:paraId="1CD4E2FA" w14:textId="3EBB511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44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0CD"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F442A4" wp14:editId="19AD61CD">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B8DAF3E" wp14:editId="7588B915">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EF5C053" w14:textId="0CC1A0A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44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A891" w14:textId="77777777" w:rsidR="00491644" w:rsidRDefault="00491644">
    <w:pPr>
      <w:pStyle w:val="Footer"/>
    </w:pPr>
  </w:p>
  <w:p w14:paraId="3E6ACEF1" w14:textId="677D59B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44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FC9F" w14:textId="77777777" w:rsidR="00195CC4" w:rsidRDefault="00195CC4" w:rsidP="00491644">
      <w:r>
        <w:separator/>
      </w:r>
    </w:p>
  </w:footnote>
  <w:footnote w:type="continuationSeparator" w:id="0">
    <w:p w14:paraId="7882978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7A8F" w14:textId="6F0D61D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44ED">
      <w:rPr>
        <w:rFonts w:ascii="Times New Roman" w:hAnsi="Times New Roman" w:cs="Times New Roman"/>
        <w:b/>
        <w:color w:val="FF0000"/>
      </w:rPr>
      <w:t>OFFICIAL</w:t>
    </w:r>
    <w:r>
      <w:rPr>
        <w:rFonts w:ascii="Times New Roman" w:hAnsi="Times New Roman" w:cs="Times New Roman"/>
        <w:b/>
        <w:color w:val="FF0000"/>
      </w:rPr>
      <w:fldChar w:fldCharType="end"/>
    </w:r>
  </w:p>
  <w:p w14:paraId="6D29BC5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1E26" w14:textId="738786F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44E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73D" w14:textId="76A17D4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544ED">
      <w:rPr>
        <w:rFonts w:ascii="Times New Roman" w:hAnsi="Times New Roman" w:cs="Times New Roman"/>
        <w:b/>
        <w:color w:val="FF0000"/>
      </w:rPr>
      <w:t>OFFICIAL</w:t>
    </w:r>
    <w:r>
      <w:rPr>
        <w:rFonts w:ascii="Times New Roman" w:hAnsi="Times New Roman" w:cs="Times New Roman"/>
        <w:b/>
        <w:color w:val="FF0000"/>
      </w:rPr>
      <w:fldChar w:fldCharType="end"/>
    </w:r>
  </w:p>
  <w:p w14:paraId="24F6CD1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A2032"/>
    <w:multiLevelType w:val="hybridMultilevel"/>
    <w:tmpl w:val="B3729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87655444">
    <w:abstractNumId w:val="1"/>
  </w:num>
  <w:num w:numId="2" w16cid:durableId="399524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64FB"/>
    <w:rsid w:val="00074F2E"/>
    <w:rsid w:val="00090F3B"/>
    <w:rsid w:val="000B5D90"/>
    <w:rsid w:val="000E6526"/>
    <w:rsid w:val="0010605A"/>
    <w:rsid w:val="00141533"/>
    <w:rsid w:val="00167528"/>
    <w:rsid w:val="00195CC4"/>
    <w:rsid w:val="001E1080"/>
    <w:rsid w:val="001E45ED"/>
    <w:rsid w:val="00207326"/>
    <w:rsid w:val="00253DF6"/>
    <w:rsid w:val="00255F1E"/>
    <w:rsid w:val="002B51CE"/>
    <w:rsid w:val="003303C6"/>
    <w:rsid w:val="00353610"/>
    <w:rsid w:val="0036503B"/>
    <w:rsid w:val="00393CCF"/>
    <w:rsid w:val="003D1381"/>
    <w:rsid w:val="003D6D03"/>
    <w:rsid w:val="003E12CA"/>
    <w:rsid w:val="004010DC"/>
    <w:rsid w:val="004015B7"/>
    <w:rsid w:val="004341F0"/>
    <w:rsid w:val="00456324"/>
    <w:rsid w:val="00475460"/>
    <w:rsid w:val="00490317"/>
    <w:rsid w:val="00491644"/>
    <w:rsid w:val="00496A08"/>
    <w:rsid w:val="004B2D89"/>
    <w:rsid w:val="004E1605"/>
    <w:rsid w:val="004F653C"/>
    <w:rsid w:val="0050289D"/>
    <w:rsid w:val="0052773E"/>
    <w:rsid w:val="00540A52"/>
    <w:rsid w:val="00557306"/>
    <w:rsid w:val="005875F7"/>
    <w:rsid w:val="005B383E"/>
    <w:rsid w:val="0062050A"/>
    <w:rsid w:val="0062373E"/>
    <w:rsid w:val="00624BCD"/>
    <w:rsid w:val="0064626F"/>
    <w:rsid w:val="00661E34"/>
    <w:rsid w:val="0066798A"/>
    <w:rsid w:val="006D5799"/>
    <w:rsid w:val="00713615"/>
    <w:rsid w:val="00750D83"/>
    <w:rsid w:val="0078316E"/>
    <w:rsid w:val="00793DD5"/>
    <w:rsid w:val="007A40E6"/>
    <w:rsid w:val="007D55F6"/>
    <w:rsid w:val="007F490F"/>
    <w:rsid w:val="0080013A"/>
    <w:rsid w:val="00823DF0"/>
    <w:rsid w:val="00862DC5"/>
    <w:rsid w:val="00863902"/>
    <w:rsid w:val="0086779C"/>
    <w:rsid w:val="00874BFD"/>
    <w:rsid w:val="00881889"/>
    <w:rsid w:val="008964EF"/>
    <w:rsid w:val="008F7DC2"/>
    <w:rsid w:val="00910B1A"/>
    <w:rsid w:val="009544ED"/>
    <w:rsid w:val="009631A4"/>
    <w:rsid w:val="00977296"/>
    <w:rsid w:val="009D7939"/>
    <w:rsid w:val="00A0459D"/>
    <w:rsid w:val="00A25E93"/>
    <w:rsid w:val="00A320FF"/>
    <w:rsid w:val="00A42271"/>
    <w:rsid w:val="00A70AC0"/>
    <w:rsid w:val="00A80287"/>
    <w:rsid w:val="00A84EA9"/>
    <w:rsid w:val="00AA63A7"/>
    <w:rsid w:val="00AC443C"/>
    <w:rsid w:val="00B11A55"/>
    <w:rsid w:val="00B17211"/>
    <w:rsid w:val="00B461B2"/>
    <w:rsid w:val="00B71B3C"/>
    <w:rsid w:val="00BC389E"/>
    <w:rsid w:val="00BD464B"/>
    <w:rsid w:val="00BE1888"/>
    <w:rsid w:val="00BE7113"/>
    <w:rsid w:val="00BF6B81"/>
    <w:rsid w:val="00C077A8"/>
    <w:rsid w:val="00C14FF4"/>
    <w:rsid w:val="00C345AA"/>
    <w:rsid w:val="00C606A2"/>
    <w:rsid w:val="00C630AE"/>
    <w:rsid w:val="00C63872"/>
    <w:rsid w:val="00C84948"/>
    <w:rsid w:val="00C97AB3"/>
    <w:rsid w:val="00CF1111"/>
    <w:rsid w:val="00D05706"/>
    <w:rsid w:val="00D10714"/>
    <w:rsid w:val="00D27DC5"/>
    <w:rsid w:val="00D27DF7"/>
    <w:rsid w:val="00D36929"/>
    <w:rsid w:val="00D47E36"/>
    <w:rsid w:val="00D576EA"/>
    <w:rsid w:val="00D7625D"/>
    <w:rsid w:val="00D91D67"/>
    <w:rsid w:val="00E34B7C"/>
    <w:rsid w:val="00E55D79"/>
    <w:rsid w:val="00E94F32"/>
    <w:rsid w:val="00E972F5"/>
    <w:rsid w:val="00EE2373"/>
    <w:rsid w:val="00EF4761"/>
    <w:rsid w:val="00F55200"/>
    <w:rsid w:val="00FC2DA7"/>
    <w:rsid w:val="00FE44E2"/>
    <w:rsid w:val="00FF3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542B17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customStyle="1" w:styleId="UnresolvedMention1">
    <w:name w:val="Unresolved Mention1"/>
    <w:basedOn w:val="DefaultParagraphFont"/>
    <w:uiPriority w:val="99"/>
    <w:semiHidden/>
    <w:unhideWhenUsed/>
    <w:rsid w:val="0078316E"/>
    <w:rPr>
      <w:color w:val="605E5C"/>
      <w:shd w:val="clear" w:color="auto" w:fill="E1DFDD"/>
    </w:rPr>
  </w:style>
  <w:style w:type="character" w:styleId="FollowedHyperlink">
    <w:name w:val="FollowedHyperlink"/>
    <w:basedOn w:val="DefaultParagraphFont"/>
    <w:uiPriority w:val="99"/>
    <w:semiHidden/>
    <w:unhideWhenUsed/>
    <w:rsid w:val="00A802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39275">
      <w:bodyDiv w:val="1"/>
      <w:marLeft w:val="0"/>
      <w:marRight w:val="0"/>
      <w:marTop w:val="0"/>
      <w:marBottom w:val="0"/>
      <w:divBdr>
        <w:top w:val="none" w:sz="0" w:space="0" w:color="auto"/>
        <w:left w:val="none" w:sz="0" w:space="0" w:color="auto"/>
        <w:bottom w:val="none" w:sz="0" w:space="0" w:color="auto"/>
        <w:right w:val="none" w:sz="0" w:space="0" w:color="auto"/>
      </w:divBdr>
    </w:div>
    <w:div w:id="730082278">
      <w:bodyDiv w:val="1"/>
      <w:marLeft w:val="0"/>
      <w:marRight w:val="0"/>
      <w:marTop w:val="0"/>
      <w:marBottom w:val="0"/>
      <w:divBdr>
        <w:top w:val="none" w:sz="0" w:space="0" w:color="auto"/>
        <w:left w:val="none" w:sz="0" w:space="0" w:color="auto"/>
        <w:bottom w:val="none" w:sz="0" w:space="0" w:color="auto"/>
        <w:right w:val="none" w:sz="0" w:space="0" w:color="auto"/>
      </w:divBdr>
    </w:div>
    <w:div w:id="948010103">
      <w:bodyDiv w:val="1"/>
      <w:marLeft w:val="0"/>
      <w:marRight w:val="0"/>
      <w:marTop w:val="0"/>
      <w:marBottom w:val="0"/>
      <w:divBdr>
        <w:top w:val="none" w:sz="0" w:space="0" w:color="auto"/>
        <w:left w:val="none" w:sz="0" w:space="0" w:color="auto"/>
        <w:bottom w:val="none" w:sz="0" w:space="0" w:color="auto"/>
        <w:right w:val="none" w:sz="0" w:space="0" w:color="auto"/>
      </w:divBdr>
    </w:div>
    <w:div w:id="1139955010">
      <w:bodyDiv w:val="1"/>
      <w:marLeft w:val="0"/>
      <w:marRight w:val="0"/>
      <w:marTop w:val="0"/>
      <w:marBottom w:val="0"/>
      <w:divBdr>
        <w:top w:val="none" w:sz="0" w:space="0" w:color="auto"/>
        <w:left w:val="none" w:sz="0" w:space="0" w:color="auto"/>
        <w:bottom w:val="none" w:sz="0" w:space="0" w:color="auto"/>
        <w:right w:val="none" w:sz="0" w:space="0" w:color="auto"/>
      </w:divBdr>
    </w:div>
    <w:div w:id="1455635277">
      <w:bodyDiv w:val="1"/>
      <w:marLeft w:val="0"/>
      <w:marRight w:val="0"/>
      <w:marTop w:val="0"/>
      <w:marBottom w:val="0"/>
      <w:divBdr>
        <w:top w:val="none" w:sz="0" w:space="0" w:color="auto"/>
        <w:left w:val="none" w:sz="0" w:space="0" w:color="auto"/>
        <w:bottom w:val="none" w:sz="0" w:space="0" w:color="auto"/>
        <w:right w:val="none" w:sz="0" w:space="0" w:color="auto"/>
      </w:divBdr>
    </w:div>
    <w:div w:id="1461067611">
      <w:bodyDiv w:val="1"/>
      <w:marLeft w:val="0"/>
      <w:marRight w:val="0"/>
      <w:marTop w:val="0"/>
      <w:marBottom w:val="0"/>
      <w:divBdr>
        <w:top w:val="none" w:sz="0" w:space="0" w:color="auto"/>
        <w:left w:val="none" w:sz="0" w:space="0" w:color="auto"/>
        <w:bottom w:val="none" w:sz="0" w:space="0" w:color="auto"/>
        <w:right w:val="none" w:sz="0" w:space="0" w:color="auto"/>
      </w:divBdr>
    </w:div>
    <w:div w:id="1479609922">
      <w:bodyDiv w:val="1"/>
      <w:marLeft w:val="0"/>
      <w:marRight w:val="0"/>
      <w:marTop w:val="0"/>
      <w:marBottom w:val="0"/>
      <w:divBdr>
        <w:top w:val="none" w:sz="0" w:space="0" w:color="auto"/>
        <w:left w:val="none" w:sz="0" w:space="0" w:color="auto"/>
        <w:bottom w:val="none" w:sz="0" w:space="0" w:color="auto"/>
        <w:right w:val="none" w:sz="0" w:space="0" w:color="auto"/>
      </w:divBdr>
    </w:div>
    <w:div w:id="1881041947">
      <w:bodyDiv w:val="1"/>
      <w:marLeft w:val="0"/>
      <w:marRight w:val="0"/>
      <w:marTop w:val="0"/>
      <w:marBottom w:val="0"/>
      <w:divBdr>
        <w:top w:val="none" w:sz="0" w:space="0" w:color="auto"/>
        <w:left w:val="none" w:sz="0" w:space="0" w:color="auto"/>
        <w:bottom w:val="none" w:sz="0" w:space="0" w:color="auto"/>
        <w:right w:val="none" w:sz="0" w:space="0" w:color="auto"/>
      </w:divBdr>
    </w:div>
    <w:div w:id="193548001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342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lgyddvsi/complaints-about-the-police-sop.docx" TargetMode="Externa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pirc.scot/media/5465/pirc-statutory-guidance-october-22.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c.scot/media/5465/pirc-statutory-guidance-october-22.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hyperlink" Target="https://www.spa.police.uk/publication-library/police-scotland-professional-standards-quarterly-performance-report-q1-23-24-22-august-202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c.scot/media/5465/pirc-statutory-guidance-october-22.pdf" TargetMode="Externa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1277</Words>
  <Characters>7280</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2023-09-05T13:57:00Z</dcterms:created>
  <dcterms:modified xsi:type="dcterms:W3CDTF">2023-09-27T12:49:00Z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