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8B096B" w:rsidR="00B17211" w:rsidRPr="00B17211" w:rsidRDefault="00B17211" w:rsidP="007F490F">
            <w:r w:rsidRPr="007F490F">
              <w:rPr>
                <w:rStyle w:val="Heading2Char"/>
              </w:rPr>
              <w:t>Our reference:</w:t>
            </w:r>
            <w:r>
              <w:t xml:space="preserve">  FOI 2</w:t>
            </w:r>
            <w:r w:rsidR="00EF0FBB">
              <w:t>5</w:t>
            </w:r>
            <w:r>
              <w:t>-</w:t>
            </w:r>
            <w:r w:rsidR="004B1CBE">
              <w:t>1617</w:t>
            </w:r>
          </w:p>
          <w:p w14:paraId="34BDABA6" w14:textId="4CF8F936" w:rsidR="00B17211" w:rsidRDefault="00456324" w:rsidP="00EE2373">
            <w:r w:rsidRPr="007F490F">
              <w:rPr>
                <w:rStyle w:val="Heading2Char"/>
              </w:rPr>
              <w:t>Respon</w:t>
            </w:r>
            <w:r w:rsidR="007D55F6">
              <w:rPr>
                <w:rStyle w:val="Heading2Char"/>
              </w:rPr>
              <w:t>ded to:</w:t>
            </w:r>
            <w:r w:rsidR="007F490F">
              <w:t xml:space="preserve">  </w:t>
            </w:r>
            <w:r w:rsidR="0039626B">
              <w:t>22</w:t>
            </w:r>
            <w:r w:rsidR="006D5799">
              <w:t xml:space="preserve"> </w:t>
            </w:r>
            <w:r w:rsidR="00AC6465">
              <w:t>J</w:t>
            </w:r>
            <w:r w:rsidR="00F17389">
              <w:t>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D602A" w14:textId="77777777" w:rsidR="004B1CBE" w:rsidRDefault="004B1CBE" w:rsidP="004B1CBE">
      <w:pPr>
        <w:pStyle w:val="Heading2"/>
      </w:pPr>
      <w:r>
        <w:t>1. How many hate crime reports have been made to police since the Hate Crime Act came in, how many were investigated, how many led to warnings/charges?</w:t>
      </w:r>
    </w:p>
    <w:p w14:paraId="0468F1CA" w14:textId="77777777" w:rsidR="00D65A0C" w:rsidRDefault="00B96540" w:rsidP="003A4F25">
      <w:r w:rsidRPr="00B96540">
        <w:t xml:space="preserve">The table below </w:t>
      </w:r>
      <w:r>
        <w:t>d</w:t>
      </w:r>
      <w:r w:rsidRPr="00B96540">
        <w:t>etail</w:t>
      </w:r>
      <w:r>
        <w:t>s</w:t>
      </w:r>
      <w:r w:rsidRPr="00B96540">
        <w:t xml:space="preserve"> recorded and detected hate crimes recorded by Police Scotland between </w:t>
      </w:r>
      <w:r w:rsidR="003A4F25" w:rsidRPr="003A4F25">
        <w:t xml:space="preserve">1st April 2024 </w:t>
      </w:r>
      <w:r>
        <w:t>and</w:t>
      </w:r>
      <w:r w:rsidR="003A4F25" w:rsidRPr="003A4F25">
        <w:t xml:space="preserve"> 30th June 2025</w:t>
      </w:r>
      <w:r>
        <w:t xml:space="preserve">.  </w:t>
      </w:r>
    </w:p>
    <w:p w14:paraId="6AD3A926" w14:textId="54CAD562" w:rsidR="00F17389" w:rsidRPr="00B96540" w:rsidRDefault="00B96540" w:rsidP="003A4F25">
      <w:r>
        <w:t>Detected crimes are those</w:t>
      </w:r>
      <w:r w:rsidRPr="007D1918">
        <w:t xml:space="preserve"> where an accused has been identified and there exists a sufficiency of evidence under Scots Law to justify consideration of criminal proceedings.</w:t>
      </w:r>
    </w:p>
    <w:tbl>
      <w:tblPr>
        <w:tblStyle w:val="TableGrid"/>
        <w:tblW w:w="7746" w:type="dxa"/>
        <w:tblLook w:val="04A0" w:firstRow="1" w:lastRow="0" w:firstColumn="1" w:lastColumn="0" w:noHBand="0" w:noVBand="1"/>
      </w:tblPr>
      <w:tblGrid>
        <w:gridCol w:w="1898"/>
        <w:gridCol w:w="2924"/>
        <w:gridCol w:w="2924"/>
      </w:tblGrid>
      <w:tr w:rsidR="00B96540" w:rsidRPr="00557306" w14:paraId="781A479F" w14:textId="69F8C968" w:rsidTr="00B96540">
        <w:trPr>
          <w:tblHeader/>
        </w:trPr>
        <w:tc>
          <w:tcPr>
            <w:tcW w:w="1898" w:type="dxa"/>
            <w:shd w:val="clear" w:color="auto" w:fill="D9D9D9" w:themeFill="background1" w:themeFillShade="D9"/>
          </w:tcPr>
          <w:p w14:paraId="658F3AC2" w14:textId="77777777" w:rsidR="00B96540" w:rsidRPr="00557306" w:rsidRDefault="00B96540" w:rsidP="00B96540">
            <w:pPr>
              <w:spacing w:line="240" w:lineRule="auto"/>
              <w:rPr>
                <w:b/>
              </w:rPr>
            </w:pPr>
            <w:r>
              <w:rPr>
                <w:b/>
              </w:rPr>
              <w:t>Calendar Year</w:t>
            </w:r>
          </w:p>
        </w:tc>
        <w:tc>
          <w:tcPr>
            <w:tcW w:w="2924" w:type="dxa"/>
            <w:shd w:val="clear" w:color="auto" w:fill="D9D9D9" w:themeFill="background1" w:themeFillShade="D9"/>
          </w:tcPr>
          <w:p w14:paraId="42CE1C23" w14:textId="3671B70B" w:rsidR="00B96540" w:rsidRPr="00557306" w:rsidRDefault="00B96540" w:rsidP="00B96540">
            <w:pPr>
              <w:spacing w:line="240" w:lineRule="auto"/>
              <w:rPr>
                <w:b/>
              </w:rPr>
            </w:pPr>
            <w:r>
              <w:rPr>
                <w:b/>
              </w:rPr>
              <w:t>Recorded Hate Crimes</w:t>
            </w:r>
          </w:p>
        </w:tc>
        <w:tc>
          <w:tcPr>
            <w:tcW w:w="2924" w:type="dxa"/>
            <w:shd w:val="clear" w:color="auto" w:fill="D9D9D9" w:themeFill="background1" w:themeFillShade="D9"/>
          </w:tcPr>
          <w:p w14:paraId="53B6C8F3" w14:textId="344F583D" w:rsidR="00B96540" w:rsidRDefault="00B96540" w:rsidP="00B96540">
            <w:pPr>
              <w:spacing w:line="240" w:lineRule="auto"/>
              <w:rPr>
                <w:b/>
              </w:rPr>
            </w:pPr>
            <w:r>
              <w:rPr>
                <w:b/>
              </w:rPr>
              <w:t>Detected Hate Crimes</w:t>
            </w:r>
          </w:p>
        </w:tc>
      </w:tr>
      <w:tr w:rsidR="00B96540" w14:paraId="64853A8E" w14:textId="0884DD35" w:rsidTr="00B96540">
        <w:tc>
          <w:tcPr>
            <w:tcW w:w="1898" w:type="dxa"/>
          </w:tcPr>
          <w:p w14:paraId="233AA7F5" w14:textId="5CCA9D93" w:rsidR="00B96540" w:rsidRDefault="00B96540" w:rsidP="00B96540">
            <w:pPr>
              <w:tabs>
                <w:tab w:val="left" w:pos="5400"/>
              </w:tabs>
              <w:spacing w:line="240" w:lineRule="auto"/>
            </w:pPr>
            <w:r>
              <w:t>2024</w:t>
            </w:r>
          </w:p>
        </w:tc>
        <w:tc>
          <w:tcPr>
            <w:tcW w:w="2924" w:type="dxa"/>
          </w:tcPr>
          <w:p w14:paraId="1C4A2BF6" w14:textId="3CCF0887" w:rsidR="00B96540" w:rsidRDefault="00B96540" w:rsidP="00B96540">
            <w:pPr>
              <w:tabs>
                <w:tab w:val="left" w:pos="5400"/>
              </w:tabs>
              <w:spacing w:line="240" w:lineRule="auto"/>
            </w:pPr>
            <w:r>
              <w:t>6845</w:t>
            </w:r>
          </w:p>
        </w:tc>
        <w:tc>
          <w:tcPr>
            <w:tcW w:w="2924" w:type="dxa"/>
          </w:tcPr>
          <w:p w14:paraId="33DD62AB" w14:textId="62F8D986" w:rsidR="00B96540" w:rsidRDefault="00B96540" w:rsidP="00B96540">
            <w:pPr>
              <w:tabs>
                <w:tab w:val="left" w:pos="5400"/>
              </w:tabs>
              <w:spacing w:line="240" w:lineRule="auto"/>
            </w:pPr>
            <w:r>
              <w:t>4603</w:t>
            </w:r>
          </w:p>
        </w:tc>
      </w:tr>
      <w:tr w:rsidR="00B96540" w14:paraId="40D0B7D1" w14:textId="2DEAE00E" w:rsidTr="00B96540">
        <w:tc>
          <w:tcPr>
            <w:tcW w:w="1898" w:type="dxa"/>
          </w:tcPr>
          <w:p w14:paraId="662450A5" w14:textId="6B3942F5" w:rsidR="00B96540" w:rsidRDefault="00B96540" w:rsidP="00B96540">
            <w:pPr>
              <w:tabs>
                <w:tab w:val="left" w:pos="5400"/>
              </w:tabs>
              <w:spacing w:line="240" w:lineRule="auto"/>
            </w:pPr>
            <w:r>
              <w:t>2025</w:t>
            </w:r>
          </w:p>
        </w:tc>
        <w:tc>
          <w:tcPr>
            <w:tcW w:w="2924" w:type="dxa"/>
          </w:tcPr>
          <w:p w14:paraId="1A36BBD6" w14:textId="0E56AE86" w:rsidR="00B96540" w:rsidRDefault="00B96540" w:rsidP="00B96540">
            <w:pPr>
              <w:tabs>
                <w:tab w:val="left" w:pos="5400"/>
              </w:tabs>
              <w:spacing w:line="240" w:lineRule="auto"/>
            </w:pPr>
            <w:r>
              <w:t>4392</w:t>
            </w:r>
          </w:p>
        </w:tc>
        <w:tc>
          <w:tcPr>
            <w:tcW w:w="2924" w:type="dxa"/>
          </w:tcPr>
          <w:p w14:paraId="775BC9E1" w14:textId="7FBDE0D0" w:rsidR="00B96540" w:rsidRDefault="00B96540" w:rsidP="00B96540">
            <w:pPr>
              <w:tabs>
                <w:tab w:val="left" w:pos="5400"/>
              </w:tabs>
              <w:spacing w:line="240" w:lineRule="auto"/>
            </w:pPr>
            <w:r>
              <w:t>2916</w:t>
            </w:r>
          </w:p>
        </w:tc>
      </w:tr>
      <w:tr w:rsidR="00B96540" w:rsidRPr="00F17389" w14:paraId="6F838A6D" w14:textId="37F8D1F3" w:rsidTr="00B96540">
        <w:tc>
          <w:tcPr>
            <w:tcW w:w="1898" w:type="dxa"/>
          </w:tcPr>
          <w:p w14:paraId="222893CF" w14:textId="692F93AC" w:rsidR="00B96540" w:rsidRPr="00F17389" w:rsidRDefault="00B96540" w:rsidP="00B96540">
            <w:pPr>
              <w:tabs>
                <w:tab w:val="left" w:pos="5400"/>
              </w:tabs>
              <w:spacing w:line="240" w:lineRule="auto"/>
              <w:rPr>
                <w:b/>
                <w:bCs/>
              </w:rPr>
            </w:pPr>
            <w:r w:rsidRPr="00F17389">
              <w:rPr>
                <w:b/>
                <w:bCs/>
              </w:rPr>
              <w:t>TOTAL</w:t>
            </w:r>
          </w:p>
        </w:tc>
        <w:tc>
          <w:tcPr>
            <w:tcW w:w="2924" w:type="dxa"/>
          </w:tcPr>
          <w:p w14:paraId="09BB3F99" w14:textId="18861886" w:rsidR="00B96540" w:rsidRPr="00F17389" w:rsidRDefault="00B96540" w:rsidP="00B96540">
            <w:pPr>
              <w:tabs>
                <w:tab w:val="left" w:pos="5400"/>
              </w:tabs>
              <w:spacing w:line="240" w:lineRule="auto"/>
              <w:rPr>
                <w:b/>
                <w:bCs/>
              </w:rPr>
            </w:pPr>
            <w:r w:rsidRPr="00F17389">
              <w:rPr>
                <w:b/>
                <w:bCs/>
              </w:rPr>
              <w:t>11237</w:t>
            </w:r>
          </w:p>
        </w:tc>
        <w:tc>
          <w:tcPr>
            <w:tcW w:w="2924" w:type="dxa"/>
          </w:tcPr>
          <w:p w14:paraId="5B28428A" w14:textId="3266846C" w:rsidR="00B96540" w:rsidRPr="00F17389" w:rsidRDefault="00B96540" w:rsidP="00B96540">
            <w:pPr>
              <w:tabs>
                <w:tab w:val="left" w:pos="5400"/>
              </w:tabs>
              <w:spacing w:line="240" w:lineRule="auto"/>
              <w:rPr>
                <w:b/>
                <w:bCs/>
              </w:rPr>
            </w:pPr>
            <w:r w:rsidRPr="00F17389">
              <w:rPr>
                <w:b/>
                <w:bCs/>
              </w:rPr>
              <w:t>11237</w:t>
            </w:r>
          </w:p>
        </w:tc>
      </w:tr>
    </w:tbl>
    <w:p w14:paraId="04102436" w14:textId="43E5DA66" w:rsidR="00B96540" w:rsidRDefault="00B96540" w:rsidP="00B96540">
      <w:r>
        <w:t xml:space="preserve">All statistics are provisional and should be treated as management information. </w:t>
      </w:r>
      <w:r>
        <w:br/>
        <w:t>Data was extracted from Police Scotland systems and are correct as of 19th July 2025.</w:t>
      </w:r>
      <w:r>
        <w:br/>
        <w:t>Data has been extracted from the National Crime Unifi database using the ‘date raised’ and based on crimes/offences which include at least one of the hate aggravators and/or are one of the following offences: Racially aggravated harassment, Racially aggravated conduct, Stirring up hatred: Racial, Stirring up hatred: Other Group, Race Relations Legislation (Public Order Act)</w:t>
      </w:r>
      <w:r>
        <w:br/>
        <w:t>The table displays a count of unique hate crimes, not a count of aggravators.  Multiple aggravators can be added to the one hate crime.</w:t>
      </w:r>
    </w:p>
    <w:p w14:paraId="7F709F56" w14:textId="77777777" w:rsidR="00B96540" w:rsidRDefault="00B96540"/>
    <w:p w14:paraId="793E9AC4" w14:textId="1EBF57F3" w:rsidR="004B1CBE" w:rsidRDefault="004B1CBE" w:rsidP="004B1CBE">
      <w:pPr>
        <w:pStyle w:val="Heading2"/>
      </w:pPr>
      <w:r>
        <w:lastRenderedPageBreak/>
        <w:t>2. Could you supply any internal correspondence (i.e internal intranet announcements) made by Jo Farrell or her Deputy Chief Constables to Police Scotland officers about the Hate Crime Act from the last 12 months?</w:t>
      </w:r>
    </w:p>
    <w:p w14:paraId="35444D49" w14:textId="6B949BBD" w:rsidR="004B1CBE" w:rsidRDefault="009D6E7E" w:rsidP="004B1CBE">
      <w:r>
        <w:t>Please see enclosed three documents reflecting the internal correspondence issued in relation to the above in the last 12 months.</w:t>
      </w:r>
    </w:p>
    <w:p w14:paraId="6C6884D3" w14:textId="77777777" w:rsidR="009D6E7E" w:rsidRPr="004B1CBE" w:rsidRDefault="009D6E7E" w:rsidP="004B1CBE"/>
    <w:p w14:paraId="1487C81E" w14:textId="77777777" w:rsidR="004B1CBE" w:rsidRDefault="004B1CBE" w:rsidP="004B1CBE">
      <w:pPr>
        <w:pStyle w:val="Heading2"/>
      </w:pPr>
      <w:r>
        <w:t>3. How many body worn cameras have been supplied so far to cops and the cost of this so far, with a breakdown of costs?</w:t>
      </w:r>
    </w:p>
    <w:p w14:paraId="69C47A48" w14:textId="4F17368A" w:rsidR="00B96540" w:rsidRDefault="00B96540" w:rsidP="004B1CBE">
      <w:pPr>
        <w:pStyle w:val="Heading2"/>
        <w:rPr>
          <w:b w:val="0"/>
          <w:bCs/>
        </w:rPr>
      </w:pPr>
      <w:r>
        <w:rPr>
          <w:b w:val="0"/>
          <w:bCs/>
        </w:rPr>
        <w:t>At the time of your request, the</w:t>
      </w:r>
      <w:r w:rsidR="004B1CBE" w:rsidRPr="004B1CBE">
        <w:rPr>
          <w:b w:val="0"/>
          <w:bCs/>
        </w:rPr>
        <w:t xml:space="preserve"> body worn video project ha</w:t>
      </w:r>
      <w:r>
        <w:rPr>
          <w:b w:val="0"/>
          <w:bCs/>
        </w:rPr>
        <w:t>d,</w:t>
      </w:r>
      <w:r w:rsidR="004B1CBE" w:rsidRPr="004B1CBE">
        <w:rPr>
          <w:b w:val="0"/>
          <w:bCs/>
        </w:rPr>
        <w:t xml:space="preserve"> thus far</w:t>
      </w:r>
      <w:r>
        <w:rPr>
          <w:b w:val="0"/>
          <w:bCs/>
        </w:rPr>
        <w:t>,</w:t>
      </w:r>
      <w:r w:rsidR="004B1CBE" w:rsidRPr="004B1CBE">
        <w:rPr>
          <w:b w:val="0"/>
          <w:bCs/>
        </w:rPr>
        <w:t xml:space="preserve"> deployed cameras into Tayside Division only. </w:t>
      </w:r>
    </w:p>
    <w:p w14:paraId="0601FA94" w14:textId="74A14441" w:rsidR="004B1CBE" w:rsidRPr="004B1CBE" w:rsidRDefault="004B1CBE" w:rsidP="004B1CBE">
      <w:pPr>
        <w:pStyle w:val="Heading2"/>
        <w:rPr>
          <w:b w:val="0"/>
          <w:bCs/>
        </w:rPr>
      </w:pPr>
      <w:r w:rsidRPr="004B1CBE">
        <w:rPr>
          <w:b w:val="0"/>
          <w:bCs/>
        </w:rPr>
        <w:t>We have delivered 719 body worn video cameras.</w:t>
      </w:r>
    </w:p>
    <w:p w14:paraId="3814D4FB" w14:textId="4D8E3FAE" w:rsidR="004B1CBE" w:rsidRDefault="004B1CBE" w:rsidP="004B1CBE">
      <w:pPr>
        <w:pStyle w:val="Heading2"/>
        <w:rPr>
          <w:b w:val="0"/>
          <w:bCs/>
        </w:rPr>
      </w:pPr>
      <w:r w:rsidRPr="004B1CBE">
        <w:rPr>
          <w:b w:val="0"/>
          <w:bCs/>
        </w:rPr>
        <w:t>This forms part of the £13.3m national contract to implement body worn video for frontline officers in Scotland over the next three years.</w:t>
      </w:r>
    </w:p>
    <w:p w14:paraId="5CFBD1A6" w14:textId="77777777" w:rsidR="009D6E7E" w:rsidRPr="009D6E7E" w:rsidRDefault="009D6E7E" w:rsidP="009D6E7E"/>
    <w:p w14:paraId="34BDABA9" w14:textId="123B6FDD" w:rsidR="00496A08" w:rsidRPr="0036503B" w:rsidRDefault="004B1CBE" w:rsidP="004B1CBE">
      <w:pPr>
        <w:pStyle w:val="Heading2"/>
      </w:pPr>
      <w:r>
        <w:t>4. How many non-hate crime incidents have been recorded in the last three years with a breakdown per year?</w:t>
      </w:r>
    </w:p>
    <w:p w14:paraId="24F09649" w14:textId="11A86121" w:rsidR="003A4F25" w:rsidRDefault="00B96540" w:rsidP="003A4F25">
      <w:pPr>
        <w:tabs>
          <w:tab w:val="left" w:pos="5400"/>
        </w:tabs>
      </w:pPr>
      <w:r w:rsidRPr="00B96540">
        <w:t xml:space="preserve">The table below </w:t>
      </w:r>
      <w:r>
        <w:t>d</w:t>
      </w:r>
      <w:r w:rsidRPr="00B96540">
        <w:t>etail</w:t>
      </w:r>
      <w:r>
        <w:t>s</w:t>
      </w:r>
      <w:r w:rsidRPr="00B96540">
        <w:t xml:space="preserve"> recorded </w:t>
      </w:r>
      <w:r>
        <w:t xml:space="preserve">Non-crime Hate Incidents recorded by Police Scotland between </w:t>
      </w:r>
      <w:r w:rsidR="003A4F25">
        <w:t xml:space="preserve">1st January 2022 </w:t>
      </w:r>
      <w:r>
        <w:t>and</w:t>
      </w:r>
      <w:r w:rsidR="003A4F25">
        <w:t xml:space="preserve"> 30th June 2025</w:t>
      </w:r>
      <w:r>
        <w:t>:</w:t>
      </w:r>
    </w:p>
    <w:tbl>
      <w:tblPr>
        <w:tblStyle w:val="TableGrid"/>
        <w:tblW w:w="5182" w:type="dxa"/>
        <w:tblLook w:val="04A0" w:firstRow="1" w:lastRow="0" w:firstColumn="1" w:lastColumn="0" w:noHBand="0" w:noVBand="1"/>
      </w:tblPr>
      <w:tblGrid>
        <w:gridCol w:w="1898"/>
        <w:gridCol w:w="3284"/>
      </w:tblGrid>
      <w:tr w:rsidR="003A4F25" w:rsidRPr="00557306" w14:paraId="6C80D209" w14:textId="77777777" w:rsidTr="00B96540">
        <w:trPr>
          <w:tblHeader/>
        </w:trPr>
        <w:tc>
          <w:tcPr>
            <w:tcW w:w="1898" w:type="dxa"/>
            <w:shd w:val="clear" w:color="auto" w:fill="D9D9D9" w:themeFill="background1" w:themeFillShade="D9"/>
          </w:tcPr>
          <w:p w14:paraId="37826527" w14:textId="77777777" w:rsidR="003A4F25" w:rsidRPr="00557306" w:rsidRDefault="003A4F25" w:rsidP="00073847">
            <w:pPr>
              <w:spacing w:line="240" w:lineRule="auto"/>
              <w:rPr>
                <w:b/>
              </w:rPr>
            </w:pPr>
            <w:r>
              <w:rPr>
                <w:b/>
              </w:rPr>
              <w:t>Calendar Year</w:t>
            </w:r>
          </w:p>
        </w:tc>
        <w:tc>
          <w:tcPr>
            <w:tcW w:w="3284" w:type="dxa"/>
            <w:shd w:val="clear" w:color="auto" w:fill="D9D9D9" w:themeFill="background1" w:themeFillShade="D9"/>
          </w:tcPr>
          <w:p w14:paraId="206F64F5" w14:textId="6DD55452" w:rsidR="003A4F25" w:rsidRPr="00557306" w:rsidRDefault="00B96540" w:rsidP="00073847">
            <w:pPr>
              <w:spacing w:line="240" w:lineRule="auto"/>
              <w:rPr>
                <w:b/>
              </w:rPr>
            </w:pPr>
            <w:r>
              <w:rPr>
                <w:b/>
              </w:rPr>
              <w:t xml:space="preserve">Non-Crime </w:t>
            </w:r>
            <w:r w:rsidR="003A4F25">
              <w:rPr>
                <w:b/>
              </w:rPr>
              <w:t xml:space="preserve">Hate </w:t>
            </w:r>
            <w:r>
              <w:rPr>
                <w:b/>
              </w:rPr>
              <w:t>Incidents</w:t>
            </w:r>
          </w:p>
        </w:tc>
      </w:tr>
      <w:tr w:rsidR="003A4F25" w14:paraId="29B2B0CC" w14:textId="77777777" w:rsidTr="00B96540">
        <w:tc>
          <w:tcPr>
            <w:tcW w:w="1898" w:type="dxa"/>
          </w:tcPr>
          <w:p w14:paraId="2506849A" w14:textId="74478EC6" w:rsidR="003A4F25" w:rsidRDefault="003A4F25" w:rsidP="00073847">
            <w:pPr>
              <w:tabs>
                <w:tab w:val="left" w:pos="5400"/>
              </w:tabs>
              <w:spacing w:line="240" w:lineRule="auto"/>
            </w:pPr>
            <w:r>
              <w:t>2022</w:t>
            </w:r>
          </w:p>
        </w:tc>
        <w:tc>
          <w:tcPr>
            <w:tcW w:w="3284" w:type="dxa"/>
          </w:tcPr>
          <w:p w14:paraId="0619DFFD" w14:textId="34BFC95A" w:rsidR="003A4F25" w:rsidRDefault="003A4F25" w:rsidP="00073847">
            <w:pPr>
              <w:tabs>
                <w:tab w:val="left" w:pos="5400"/>
              </w:tabs>
              <w:spacing w:line="240" w:lineRule="auto"/>
            </w:pPr>
            <w:r>
              <w:t>947</w:t>
            </w:r>
          </w:p>
        </w:tc>
      </w:tr>
      <w:tr w:rsidR="003A4F25" w14:paraId="5BD951F0" w14:textId="77777777" w:rsidTr="00B96540">
        <w:tc>
          <w:tcPr>
            <w:tcW w:w="1898" w:type="dxa"/>
          </w:tcPr>
          <w:p w14:paraId="47354B50" w14:textId="5F055C35" w:rsidR="003A4F25" w:rsidRDefault="003A4F25" w:rsidP="00073847">
            <w:pPr>
              <w:tabs>
                <w:tab w:val="left" w:pos="5400"/>
              </w:tabs>
              <w:spacing w:line="240" w:lineRule="auto"/>
            </w:pPr>
            <w:r>
              <w:t>2023</w:t>
            </w:r>
          </w:p>
        </w:tc>
        <w:tc>
          <w:tcPr>
            <w:tcW w:w="3284" w:type="dxa"/>
          </w:tcPr>
          <w:p w14:paraId="629727A8" w14:textId="022F64CD" w:rsidR="003A4F25" w:rsidRDefault="003A4F25" w:rsidP="00073847">
            <w:pPr>
              <w:tabs>
                <w:tab w:val="left" w:pos="5400"/>
              </w:tabs>
              <w:spacing w:line="240" w:lineRule="auto"/>
            </w:pPr>
            <w:r>
              <w:t>1297</w:t>
            </w:r>
          </w:p>
        </w:tc>
      </w:tr>
      <w:tr w:rsidR="003A4F25" w14:paraId="459D25C7" w14:textId="77777777" w:rsidTr="00B96540">
        <w:tc>
          <w:tcPr>
            <w:tcW w:w="1898" w:type="dxa"/>
          </w:tcPr>
          <w:p w14:paraId="003B1021" w14:textId="605E56EB" w:rsidR="003A4F25" w:rsidRDefault="003A4F25" w:rsidP="00073847">
            <w:pPr>
              <w:tabs>
                <w:tab w:val="left" w:pos="5400"/>
              </w:tabs>
              <w:spacing w:line="240" w:lineRule="auto"/>
            </w:pPr>
            <w:r>
              <w:t>2024</w:t>
            </w:r>
          </w:p>
        </w:tc>
        <w:tc>
          <w:tcPr>
            <w:tcW w:w="3284" w:type="dxa"/>
          </w:tcPr>
          <w:p w14:paraId="74E66427" w14:textId="53605FF0" w:rsidR="003A4F25" w:rsidRDefault="003A4F25" w:rsidP="00073847">
            <w:pPr>
              <w:tabs>
                <w:tab w:val="left" w:pos="5400"/>
              </w:tabs>
              <w:spacing w:line="240" w:lineRule="auto"/>
            </w:pPr>
            <w:r>
              <w:t>1050</w:t>
            </w:r>
          </w:p>
        </w:tc>
      </w:tr>
      <w:tr w:rsidR="003A4F25" w14:paraId="20212B68" w14:textId="77777777" w:rsidTr="00B96540">
        <w:tc>
          <w:tcPr>
            <w:tcW w:w="1898" w:type="dxa"/>
          </w:tcPr>
          <w:p w14:paraId="04109484" w14:textId="708FA51C" w:rsidR="003A4F25" w:rsidRDefault="003A4F25" w:rsidP="00073847">
            <w:pPr>
              <w:tabs>
                <w:tab w:val="left" w:pos="5400"/>
              </w:tabs>
              <w:spacing w:line="240" w:lineRule="auto"/>
            </w:pPr>
            <w:r>
              <w:t>2025</w:t>
            </w:r>
          </w:p>
        </w:tc>
        <w:tc>
          <w:tcPr>
            <w:tcW w:w="3284" w:type="dxa"/>
          </w:tcPr>
          <w:p w14:paraId="0B1E2FEC" w14:textId="2428D8E8" w:rsidR="003A4F25" w:rsidRDefault="003A4F25" w:rsidP="00073847">
            <w:pPr>
              <w:tabs>
                <w:tab w:val="left" w:pos="5400"/>
              </w:tabs>
              <w:spacing w:line="240" w:lineRule="auto"/>
            </w:pPr>
            <w:r>
              <w:t>367</w:t>
            </w:r>
          </w:p>
        </w:tc>
      </w:tr>
      <w:tr w:rsidR="003A4F25" w:rsidRPr="00F17389" w14:paraId="62C483BD" w14:textId="77777777" w:rsidTr="00B96540">
        <w:tc>
          <w:tcPr>
            <w:tcW w:w="1898" w:type="dxa"/>
          </w:tcPr>
          <w:p w14:paraId="3B295255" w14:textId="77777777" w:rsidR="003A4F25" w:rsidRPr="00F17389" w:rsidRDefault="003A4F25" w:rsidP="00073847">
            <w:pPr>
              <w:tabs>
                <w:tab w:val="left" w:pos="5400"/>
              </w:tabs>
              <w:spacing w:line="240" w:lineRule="auto"/>
              <w:rPr>
                <w:b/>
                <w:bCs/>
              </w:rPr>
            </w:pPr>
            <w:r w:rsidRPr="00F17389">
              <w:rPr>
                <w:b/>
                <w:bCs/>
              </w:rPr>
              <w:t>TOTAL</w:t>
            </w:r>
          </w:p>
        </w:tc>
        <w:tc>
          <w:tcPr>
            <w:tcW w:w="3284" w:type="dxa"/>
          </w:tcPr>
          <w:p w14:paraId="3B48612B" w14:textId="51732D6C" w:rsidR="003A4F25" w:rsidRPr="00F17389" w:rsidRDefault="003A4F25" w:rsidP="00073847">
            <w:pPr>
              <w:tabs>
                <w:tab w:val="left" w:pos="5400"/>
              </w:tabs>
              <w:spacing w:line="240" w:lineRule="auto"/>
              <w:rPr>
                <w:b/>
                <w:bCs/>
              </w:rPr>
            </w:pPr>
            <w:r>
              <w:rPr>
                <w:b/>
                <w:bCs/>
              </w:rPr>
              <w:t>3661</w:t>
            </w:r>
          </w:p>
        </w:tc>
      </w:tr>
    </w:tbl>
    <w:p w14:paraId="56E8CF28" w14:textId="1202D4BF" w:rsidR="00B96540" w:rsidRDefault="00B96540" w:rsidP="00B96540">
      <w:pPr>
        <w:tabs>
          <w:tab w:val="left" w:pos="5400"/>
        </w:tabs>
      </w:pPr>
      <w:r>
        <w:t xml:space="preserve">All statistics are provisional and should be treated as management information. </w:t>
      </w:r>
      <w:r>
        <w:br/>
        <w:t>Data was extracted from Police Scotland systems and are correct as at 19/7/2025.</w:t>
      </w:r>
      <w:r>
        <w:br/>
        <w:t>Data was extracted from the Interim Vulnerable Persons Database (iVPD) where ‘Crime Occurred’ equals ‘No’, using the ‘incident created’.</w:t>
      </w:r>
      <w:r>
        <w:br/>
        <w:t xml:space="preserve">Please note that iVPD has an automated weeding and retention policy built into it. </w:t>
      </w:r>
    </w:p>
    <w:p w14:paraId="500D9A3A" w14:textId="77777777" w:rsidR="00B96540" w:rsidRDefault="00B96540" w:rsidP="00B96540">
      <w:pPr>
        <w:tabs>
          <w:tab w:val="left" w:pos="5400"/>
        </w:tabs>
      </w:pPr>
    </w:p>
    <w:p w14:paraId="34BDABBE" w14:textId="3C6028E4" w:rsidR="00496A08" w:rsidRPr="00BF6B81" w:rsidRDefault="00496A08" w:rsidP="00B96540">
      <w:pPr>
        <w:tabs>
          <w:tab w:val="left" w:pos="5400"/>
        </w:tabs>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0376B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2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9BF6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2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07873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2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D97F0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26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422EB1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26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77B96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26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5274"/>
    <w:rsid w:val="00341CA2"/>
    <w:rsid w:val="0036503B"/>
    <w:rsid w:val="00376A4A"/>
    <w:rsid w:val="0039626B"/>
    <w:rsid w:val="003A4F25"/>
    <w:rsid w:val="003C08F6"/>
    <w:rsid w:val="003D6D03"/>
    <w:rsid w:val="003E12CA"/>
    <w:rsid w:val="004010DC"/>
    <w:rsid w:val="004341F0"/>
    <w:rsid w:val="00456324"/>
    <w:rsid w:val="004705B2"/>
    <w:rsid w:val="00475460"/>
    <w:rsid w:val="00486670"/>
    <w:rsid w:val="00490317"/>
    <w:rsid w:val="00491644"/>
    <w:rsid w:val="00496A08"/>
    <w:rsid w:val="004B1CBE"/>
    <w:rsid w:val="004E1605"/>
    <w:rsid w:val="004F653C"/>
    <w:rsid w:val="00540A52"/>
    <w:rsid w:val="005439E8"/>
    <w:rsid w:val="005506B0"/>
    <w:rsid w:val="00557306"/>
    <w:rsid w:val="00645CFA"/>
    <w:rsid w:val="00685219"/>
    <w:rsid w:val="006D5799"/>
    <w:rsid w:val="007016B1"/>
    <w:rsid w:val="007440EA"/>
    <w:rsid w:val="00750D83"/>
    <w:rsid w:val="00785DBC"/>
    <w:rsid w:val="00793DD5"/>
    <w:rsid w:val="007C63F4"/>
    <w:rsid w:val="007D55F6"/>
    <w:rsid w:val="007F490F"/>
    <w:rsid w:val="00854A15"/>
    <w:rsid w:val="0086779C"/>
    <w:rsid w:val="00874BFD"/>
    <w:rsid w:val="008964EF"/>
    <w:rsid w:val="00915E01"/>
    <w:rsid w:val="009631A4"/>
    <w:rsid w:val="00977296"/>
    <w:rsid w:val="009D6E7E"/>
    <w:rsid w:val="00A04A7E"/>
    <w:rsid w:val="00A25E93"/>
    <w:rsid w:val="00A320FF"/>
    <w:rsid w:val="00A70AC0"/>
    <w:rsid w:val="00A84EA9"/>
    <w:rsid w:val="00A94D51"/>
    <w:rsid w:val="00AC443C"/>
    <w:rsid w:val="00AC6465"/>
    <w:rsid w:val="00B033D6"/>
    <w:rsid w:val="00B11A55"/>
    <w:rsid w:val="00B17211"/>
    <w:rsid w:val="00B461B2"/>
    <w:rsid w:val="00B654B6"/>
    <w:rsid w:val="00B71B3C"/>
    <w:rsid w:val="00B96540"/>
    <w:rsid w:val="00BB13B3"/>
    <w:rsid w:val="00BC389E"/>
    <w:rsid w:val="00BE1888"/>
    <w:rsid w:val="00BE4F44"/>
    <w:rsid w:val="00BF6B81"/>
    <w:rsid w:val="00C077A8"/>
    <w:rsid w:val="00C14FF4"/>
    <w:rsid w:val="00C1679F"/>
    <w:rsid w:val="00C57493"/>
    <w:rsid w:val="00C606A2"/>
    <w:rsid w:val="00C63872"/>
    <w:rsid w:val="00C84948"/>
    <w:rsid w:val="00C94ED8"/>
    <w:rsid w:val="00CF1111"/>
    <w:rsid w:val="00D05706"/>
    <w:rsid w:val="00D25F87"/>
    <w:rsid w:val="00D27DC5"/>
    <w:rsid w:val="00D47E36"/>
    <w:rsid w:val="00D65A0C"/>
    <w:rsid w:val="00DA1167"/>
    <w:rsid w:val="00DF3689"/>
    <w:rsid w:val="00E25AB4"/>
    <w:rsid w:val="00E366D4"/>
    <w:rsid w:val="00E55D79"/>
    <w:rsid w:val="00EE2373"/>
    <w:rsid w:val="00EF0FBB"/>
    <w:rsid w:val="00EF4761"/>
    <w:rsid w:val="00F17389"/>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5444">
      <w:bodyDiv w:val="1"/>
      <w:marLeft w:val="0"/>
      <w:marRight w:val="0"/>
      <w:marTop w:val="0"/>
      <w:marBottom w:val="0"/>
      <w:divBdr>
        <w:top w:val="none" w:sz="0" w:space="0" w:color="auto"/>
        <w:left w:val="none" w:sz="0" w:space="0" w:color="auto"/>
        <w:bottom w:val="none" w:sz="0" w:space="0" w:color="auto"/>
        <w:right w:val="none" w:sz="0" w:space="0" w:color="auto"/>
      </w:divBdr>
    </w:div>
    <w:div w:id="377051249">
      <w:bodyDiv w:val="1"/>
      <w:marLeft w:val="0"/>
      <w:marRight w:val="0"/>
      <w:marTop w:val="0"/>
      <w:marBottom w:val="0"/>
      <w:divBdr>
        <w:top w:val="none" w:sz="0" w:space="0" w:color="auto"/>
        <w:left w:val="none" w:sz="0" w:space="0" w:color="auto"/>
        <w:bottom w:val="none" w:sz="0" w:space="0" w:color="auto"/>
        <w:right w:val="none" w:sz="0" w:space="0" w:color="auto"/>
      </w:divBdr>
    </w:div>
    <w:div w:id="559947071">
      <w:bodyDiv w:val="1"/>
      <w:marLeft w:val="0"/>
      <w:marRight w:val="0"/>
      <w:marTop w:val="0"/>
      <w:marBottom w:val="0"/>
      <w:divBdr>
        <w:top w:val="none" w:sz="0" w:space="0" w:color="auto"/>
        <w:left w:val="none" w:sz="0" w:space="0" w:color="auto"/>
        <w:bottom w:val="none" w:sz="0" w:space="0" w:color="auto"/>
        <w:right w:val="none" w:sz="0" w:space="0" w:color="auto"/>
      </w:divBdr>
    </w:div>
    <w:div w:id="864172037">
      <w:bodyDiv w:val="1"/>
      <w:marLeft w:val="0"/>
      <w:marRight w:val="0"/>
      <w:marTop w:val="0"/>
      <w:marBottom w:val="0"/>
      <w:divBdr>
        <w:top w:val="none" w:sz="0" w:space="0" w:color="auto"/>
        <w:left w:val="none" w:sz="0" w:space="0" w:color="auto"/>
        <w:bottom w:val="none" w:sz="0" w:space="0" w:color="auto"/>
        <w:right w:val="none" w:sz="0" w:space="0" w:color="auto"/>
      </w:divBdr>
    </w:div>
    <w:div w:id="902912200">
      <w:bodyDiv w:val="1"/>
      <w:marLeft w:val="0"/>
      <w:marRight w:val="0"/>
      <w:marTop w:val="0"/>
      <w:marBottom w:val="0"/>
      <w:divBdr>
        <w:top w:val="none" w:sz="0" w:space="0" w:color="auto"/>
        <w:left w:val="none" w:sz="0" w:space="0" w:color="auto"/>
        <w:bottom w:val="none" w:sz="0" w:space="0" w:color="auto"/>
        <w:right w:val="none" w:sz="0" w:space="0" w:color="auto"/>
      </w:divBdr>
    </w:div>
    <w:div w:id="1416170930">
      <w:bodyDiv w:val="1"/>
      <w:marLeft w:val="0"/>
      <w:marRight w:val="0"/>
      <w:marTop w:val="0"/>
      <w:marBottom w:val="0"/>
      <w:divBdr>
        <w:top w:val="none" w:sz="0" w:space="0" w:color="auto"/>
        <w:left w:val="none" w:sz="0" w:space="0" w:color="auto"/>
        <w:bottom w:val="none" w:sz="0" w:space="0" w:color="auto"/>
        <w:right w:val="none" w:sz="0" w:space="0" w:color="auto"/>
      </w:divBdr>
    </w:div>
    <w:div w:id="1757163619">
      <w:bodyDiv w:val="1"/>
      <w:marLeft w:val="0"/>
      <w:marRight w:val="0"/>
      <w:marTop w:val="0"/>
      <w:marBottom w:val="0"/>
      <w:divBdr>
        <w:top w:val="none" w:sz="0" w:space="0" w:color="auto"/>
        <w:left w:val="none" w:sz="0" w:space="0" w:color="auto"/>
        <w:bottom w:val="none" w:sz="0" w:space="0" w:color="auto"/>
        <w:right w:val="none" w:sz="0" w:space="0" w:color="auto"/>
      </w:divBdr>
    </w:div>
    <w:div w:id="1834178215">
      <w:bodyDiv w:val="1"/>
      <w:marLeft w:val="0"/>
      <w:marRight w:val="0"/>
      <w:marTop w:val="0"/>
      <w:marBottom w:val="0"/>
      <w:divBdr>
        <w:top w:val="none" w:sz="0" w:space="0" w:color="auto"/>
        <w:left w:val="none" w:sz="0" w:space="0" w:color="auto"/>
        <w:bottom w:val="none" w:sz="0" w:space="0" w:color="auto"/>
        <w:right w:val="none" w:sz="0" w:space="0" w:color="auto"/>
      </w:divBdr>
    </w:div>
    <w:div w:id="18383027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3459</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2025-07-22T06:42:00Z</cp:lastPrinted>
  <dcterms:created xsi:type="dcterms:W3CDTF">2025-07-22T06:43:00Z</dcterms:created>
  <dcterms:modified xsi:type="dcterms:W3CDTF">2025-07-22T06:43:00Z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