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B25D37">
              <w:t>1618</w:t>
            </w:r>
          </w:p>
          <w:p w:rsidR="00B17211" w:rsidRDefault="00456324" w:rsidP="00B25D37">
            <w:r w:rsidRPr="007F490F">
              <w:rPr>
                <w:rStyle w:val="Heading2Char"/>
              </w:rPr>
              <w:t>Respon</w:t>
            </w:r>
            <w:r w:rsidR="007D55F6">
              <w:rPr>
                <w:rStyle w:val="Heading2Char"/>
              </w:rPr>
              <w:t>ded to:</w:t>
            </w:r>
            <w:r w:rsidR="007F490F">
              <w:t xml:space="preserve">  </w:t>
            </w:r>
            <w:r w:rsidR="0013392D">
              <w:t>xx</w:t>
            </w:r>
            <w:bookmarkStart w:id="0" w:name="_GoBack"/>
            <w:bookmarkEnd w:id="0"/>
            <w:r w:rsidR="00B25D37">
              <w:t xml:space="preserve"> July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B25D37" w:rsidRDefault="00B25D37" w:rsidP="0036503B">
      <w:pPr>
        <w:rPr>
          <w:b/>
        </w:rPr>
      </w:pPr>
      <w:r w:rsidRPr="00B25D37">
        <w:rPr>
          <w:b/>
        </w:rPr>
        <w:t>Under the Freedom of Information Act 2000 and Freedom of Information (Scotland) Act 2002, can your force reveal the annual number of arrests made in Balloch Park (located in the village of Balloch in West Dunbartonshire) from 2013 to 2022? If so, can you also reveal which exact charges we</w:t>
      </w:r>
      <w:r>
        <w:rPr>
          <w:b/>
        </w:rPr>
        <w:t>re made towards those arrested?</w:t>
      </w:r>
    </w:p>
    <w:p w:rsidR="00B25D37" w:rsidRDefault="00B25D37" w:rsidP="00B25D37">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B25D37" w:rsidRDefault="00B25D37" w:rsidP="00B25D37">
      <w:r>
        <w:t xml:space="preserve">When a person is arrested, a statement of arrest should be read over as soon as reasonably practical and details recorded in the arresting officer’s notebook.  </w:t>
      </w:r>
    </w:p>
    <w:p w:rsidR="00B25D37" w:rsidRDefault="00B25D37" w:rsidP="00B25D37">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B25D37" w:rsidRPr="00A732CA" w:rsidRDefault="00B25D37" w:rsidP="00B25D37">
      <w:r w:rsidRPr="00A732CA">
        <w:t xml:space="preserve">If conveyed to a police station, the arrested person (of either classification) will have their details recorded in the Police Scotland National Custody System.  </w:t>
      </w:r>
    </w:p>
    <w:p w:rsidR="00B25D37" w:rsidRPr="00A732CA" w:rsidRDefault="00B25D37" w:rsidP="00B25D37">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B25D37" w:rsidRPr="00A732CA" w:rsidRDefault="00B25D37" w:rsidP="00B25D37">
      <w:r w:rsidRPr="00A732CA">
        <w:t xml:space="preserve">In those circumstances, the details of an arrested person are not held electronically. </w:t>
      </w:r>
    </w:p>
    <w:p w:rsidR="00B25D37" w:rsidRPr="00A732CA" w:rsidRDefault="00B25D37" w:rsidP="00B25D37">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B25D37" w:rsidRPr="00A732CA" w:rsidRDefault="00B25D37" w:rsidP="00B25D37">
      <w:r w:rsidRPr="00A732CA">
        <w:t xml:space="preserve">As you may be aware the current cost threshold is £600 and I estimate that it would cost well in excess of this amount to process your request.  As such, and in terms of Section 16(4) of the Freedom of Information (Scotland) Act 2002 where Section 12(1) of the Act </w:t>
      </w:r>
      <w:r w:rsidRPr="00A732CA">
        <w:lastRenderedPageBreak/>
        <w:t>(Excessive Cost of Compliance) has been applied, this represents a refusal notice for the information sought.</w:t>
      </w:r>
    </w:p>
    <w:p w:rsidR="00524696" w:rsidRDefault="00B25D37" w:rsidP="00B25D37">
      <w:pPr>
        <w:rPr>
          <w:rFonts w:asciiTheme="minorHAnsi" w:hAnsiTheme="minorHAnsi"/>
          <w:bCs/>
        </w:rPr>
      </w:pPr>
      <w:r>
        <w:t xml:space="preserve">If you would be interested, we could potentially provide data relating to </w:t>
      </w:r>
      <w:r>
        <w:rPr>
          <w:shd w:val="clear" w:color="auto" w:fill="FFFFFF"/>
        </w:rPr>
        <w:t xml:space="preserve">detected crimes where the locus of the offence is recorded as ‘Balloch Park’.   Please advise if you wish to submit a further FOI request on that basis.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9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9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9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92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9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392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392D"/>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750D83"/>
    <w:rsid w:val="00793DD5"/>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5D37"/>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2023-07-06T12:40:00Z</dcterms:created>
  <dcterms:modified xsi:type="dcterms:W3CDTF">2023-07-10T09:34:00Z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