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B73E291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755A19">
              <w:t>3841</w:t>
            </w:r>
          </w:p>
          <w:p w14:paraId="34BDABA6" w14:textId="62673FFE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755A19">
              <w:t>04</w:t>
            </w:r>
            <w:r w:rsidR="006D5799">
              <w:t xml:space="preserve"> </w:t>
            </w:r>
            <w:r w:rsidR="00D81246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C0575B5" w14:textId="77777777" w:rsidR="00755A19" w:rsidRPr="00755A19" w:rsidRDefault="00755A19" w:rsidP="00755A19">
      <w:pPr>
        <w:pStyle w:val="Heading2"/>
      </w:pPr>
      <w:r w:rsidRPr="00755A19">
        <w:t>I am requesting data regarding police attendance and recorded incidents at "contingency asylum accommodation" sites (hotels) within the Greater Glasgow division.</w:t>
      </w:r>
    </w:p>
    <w:p w14:paraId="088170DB" w14:textId="77777777" w:rsidR="00755A19" w:rsidRPr="00755A19" w:rsidRDefault="00755A19" w:rsidP="00755A19">
      <w:pPr>
        <w:pStyle w:val="Heading2"/>
      </w:pPr>
      <w:r w:rsidRPr="00755A19">
        <w:t>To avoid identifying specific sensitive locations (and thus triggering a Section 38 exemption), I am happy for this data to be provided as an aggregated total for all such hotels in the division, rather than broken down by individual hotel name.</w:t>
      </w:r>
    </w:p>
    <w:p w14:paraId="68D33BB3" w14:textId="77777777" w:rsidR="00755A19" w:rsidRPr="00755A19" w:rsidRDefault="00755A19" w:rsidP="00755A19">
      <w:pPr>
        <w:pStyle w:val="Heading2"/>
      </w:pPr>
      <w:r w:rsidRPr="00755A19">
        <w:t>Please provide the following figures for the period 1st January 2024 to 31st December 2024 (or the most recent 12-month period available and up to date):</w:t>
      </w:r>
    </w:p>
    <w:p w14:paraId="0AA6406F" w14:textId="77777777" w:rsidR="00755A19" w:rsidRPr="00755A19" w:rsidRDefault="00755A19" w:rsidP="00755A19">
      <w:pPr>
        <w:pStyle w:val="Heading2"/>
      </w:pPr>
      <w:r w:rsidRPr="00755A19">
        <w:rPr>
          <w:bCs/>
        </w:rPr>
        <w:t>Total Call-Outs:</w:t>
      </w:r>
      <w:r w:rsidRPr="00755A19">
        <w:t xml:space="preserve"> The total number of police attendances (incidents created on the STORM command and control system) where the location was a known contingency accommodation hotel.</w:t>
      </w:r>
    </w:p>
    <w:p w14:paraId="2702A636" w14:textId="77777777" w:rsidR="00755A19" w:rsidRPr="00755A19" w:rsidRDefault="00755A19" w:rsidP="00755A19">
      <w:pPr>
        <w:pStyle w:val="Heading2"/>
      </w:pPr>
      <w:r w:rsidRPr="00755A19">
        <w:rPr>
          <w:bCs/>
        </w:rPr>
        <w:t>Nature of Incident:</w:t>
      </w:r>
      <w:r w:rsidRPr="00755A19">
        <w:t xml:space="preserve"> A breakdown of these call-outs by the "Initial Incident Type" or "Closing Code" (e.g., Anti-Social Behaviour, Disorder, Violence, Theft, Concern for Person, Missing Person).</w:t>
      </w:r>
    </w:p>
    <w:p w14:paraId="2BAF2ED3" w14:textId="77777777" w:rsidR="00755A19" w:rsidRPr="00755A19" w:rsidRDefault="00755A19" w:rsidP="00755A19">
      <w:pPr>
        <w:pStyle w:val="Heading2"/>
      </w:pPr>
      <w:r w:rsidRPr="00755A19">
        <w:rPr>
          <w:bCs/>
        </w:rPr>
        <w:t>Crimes Recorded:</w:t>
      </w:r>
      <w:r w:rsidRPr="00755A19">
        <w:t xml:space="preserve"> The total number of official crime reports (Group 1-5 crimes) raised where the </w:t>
      </w:r>
      <w:r w:rsidRPr="00755A19">
        <w:rPr>
          <w:i/>
          <w:iCs/>
        </w:rPr>
        <w:t>locus</w:t>
      </w:r>
      <w:r w:rsidRPr="00755A19">
        <w:t xml:space="preserve"> (location) was one of these hotels.</w:t>
      </w:r>
    </w:p>
    <w:p w14:paraId="7AA419E2" w14:textId="77777777" w:rsidR="00755A19" w:rsidRPr="00755A19" w:rsidRDefault="00755A19" w:rsidP="00755A19">
      <w:pPr>
        <w:pStyle w:val="Heading2"/>
      </w:pPr>
      <w:r w:rsidRPr="00755A19">
        <w:rPr>
          <w:bCs/>
        </w:rPr>
        <w:t>Arrests Made:</w:t>
      </w:r>
      <w:r w:rsidRPr="00755A19">
        <w:t xml:space="preserve"> The total number of arrests made at these locations during the specified period.</w:t>
      </w:r>
    </w:p>
    <w:p w14:paraId="19C41618" w14:textId="12904B2C" w:rsidR="00755A19" w:rsidRDefault="00755A19" w:rsidP="00375AA0">
      <w:pPr>
        <w:tabs>
          <w:tab w:val="left" w:pos="5400"/>
        </w:tabs>
        <w:rPr>
          <w:rFonts w:ascii="Segoe UI" w:hAnsi="Segoe UI" w:cs="Segoe UI"/>
          <w:color w:val="444444"/>
          <w:sz w:val="20"/>
          <w:szCs w:val="20"/>
          <w:shd w:val="clear" w:color="auto" w:fill="FFFFFF"/>
        </w:rPr>
      </w:pPr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</w:t>
      </w:r>
    </w:p>
    <w:p w14:paraId="34BDABB8" w14:textId="6A9CBB23" w:rsidR="00255F1E" w:rsidRPr="00B11A55" w:rsidRDefault="00755A19" w:rsidP="00755A19">
      <w:r>
        <w:rPr>
          <w:shd w:val="clear" w:color="auto" w:fill="FFFFFF"/>
        </w:rPr>
        <w:t>By way of explanation, there is no method to extract incident data using a general locus, in this case "hotel". </w:t>
      </w:r>
      <w:r>
        <w:br/>
      </w:r>
      <w:r>
        <w:rPr>
          <w:shd w:val="clear" w:color="auto" w:fill="FFFFFF"/>
        </w:rPr>
        <w:t>Should you wish to resubmit your request with address details of</w:t>
      </w:r>
      <w:r>
        <w:rPr>
          <w:shd w:val="clear" w:color="auto" w:fill="FFFFFF"/>
        </w:rPr>
        <w:t xml:space="preserve"> specific</w:t>
      </w:r>
      <w:r>
        <w:rPr>
          <w:shd w:val="clear" w:color="auto" w:fill="FFFFFF"/>
        </w:rPr>
        <w:t xml:space="preserve"> hotels</w:t>
      </w:r>
      <w:r>
        <w:rPr>
          <w:shd w:val="clear" w:color="auto" w:fill="FFFFFF"/>
        </w:rPr>
        <w:t xml:space="preserve"> that</w:t>
      </w:r>
      <w:r>
        <w:rPr>
          <w:shd w:val="clear" w:color="auto" w:fill="FFFFFF"/>
        </w:rPr>
        <w:t xml:space="preserve"> you </w:t>
      </w:r>
      <w:r>
        <w:rPr>
          <w:shd w:val="clear" w:color="auto" w:fill="FFFFFF"/>
        </w:rPr>
        <w:lastRenderedPageBreak/>
        <w:t>have an interest in, we may be able to provide further information regarding incidents attended</w:t>
      </w: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1EF7BE5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55A1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DF856B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55A1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47B9450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55A1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64DE62E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55A1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4A3C55A2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55A1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36F3F34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55A1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56F2C"/>
    <w:multiLevelType w:val="multilevel"/>
    <w:tmpl w:val="79FAF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3212782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010E9"/>
    <w:rsid w:val="00090F3B"/>
    <w:rsid w:val="000D2262"/>
    <w:rsid w:val="000E2F19"/>
    <w:rsid w:val="000E6526"/>
    <w:rsid w:val="001160E2"/>
    <w:rsid w:val="00141533"/>
    <w:rsid w:val="00167528"/>
    <w:rsid w:val="00195CC4"/>
    <w:rsid w:val="001F2261"/>
    <w:rsid w:val="00207326"/>
    <w:rsid w:val="00253DF6"/>
    <w:rsid w:val="00255F1E"/>
    <w:rsid w:val="0034364D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2AB5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85219"/>
    <w:rsid w:val="006D5799"/>
    <w:rsid w:val="007440EA"/>
    <w:rsid w:val="00750D83"/>
    <w:rsid w:val="00755A19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D2AA5"/>
    <w:rsid w:val="009D2F57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D81246"/>
    <w:rsid w:val="00E55D79"/>
    <w:rsid w:val="00EC2993"/>
    <w:rsid w:val="00EE2373"/>
    <w:rsid w:val="00EF0FBB"/>
    <w:rsid w:val="00EF4761"/>
    <w:rsid w:val="00FC2DA7"/>
    <w:rsid w:val="00FE1768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457</Words>
  <Characters>2606</Characters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2025-12-04T11:12:00Z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