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DF79E4" w:rsidR="00B17211" w:rsidRPr="00B17211" w:rsidRDefault="00B17211" w:rsidP="007F490F">
            <w:r w:rsidRPr="007F490F">
              <w:rPr>
                <w:rStyle w:val="Heading2Char"/>
              </w:rPr>
              <w:t>Our reference:</w:t>
            </w:r>
            <w:r>
              <w:t xml:space="preserve">  FOI 2</w:t>
            </w:r>
            <w:r w:rsidR="00B654B6">
              <w:t>4</w:t>
            </w:r>
            <w:r>
              <w:t>-</w:t>
            </w:r>
            <w:r w:rsidR="008A2EDF">
              <w:t>1286</w:t>
            </w:r>
          </w:p>
          <w:p w14:paraId="34BDABA6" w14:textId="2E6B8454" w:rsidR="00B17211" w:rsidRDefault="00456324" w:rsidP="00EE2373">
            <w:r w:rsidRPr="007F490F">
              <w:rPr>
                <w:rStyle w:val="Heading2Char"/>
              </w:rPr>
              <w:t>Respon</w:t>
            </w:r>
            <w:r w:rsidR="007D55F6">
              <w:rPr>
                <w:rStyle w:val="Heading2Char"/>
              </w:rPr>
              <w:t>ded to:</w:t>
            </w:r>
            <w:r w:rsidR="007F490F">
              <w:t xml:space="preserve">  </w:t>
            </w:r>
            <w:r w:rsidR="008A2EDF">
              <w:t>20</w:t>
            </w:r>
            <w:r w:rsidR="008A2EDF" w:rsidRPr="008A2EDF">
              <w:rPr>
                <w:vertAlign w:val="superscript"/>
              </w:rPr>
              <w:t>th</w:t>
            </w:r>
            <w:r w:rsidR="008A2EDF">
              <w:t xml:space="preserve"> May </w:t>
            </w:r>
            <w:r>
              <w:t>202</w:t>
            </w:r>
            <w:r w:rsidR="00B654B6">
              <w:t>4</w:t>
            </w:r>
          </w:p>
        </w:tc>
      </w:tr>
    </w:tbl>
    <w:p w14:paraId="338512E1" w14:textId="0D98E7EB" w:rsidR="00EE0ACF" w:rsidRDefault="00793DD5" w:rsidP="00057760">
      <w:r w:rsidRPr="00793DD5">
        <w:t xml:space="preserve">Your recent request for information is replicated below, together with </w:t>
      </w:r>
      <w:r w:rsidR="004341F0">
        <w:t>our</w:t>
      </w:r>
      <w:r w:rsidRPr="00793DD5">
        <w:t xml:space="preserve"> response.</w:t>
      </w:r>
    </w:p>
    <w:p w14:paraId="5AFC2147" w14:textId="5CB2C0A4" w:rsidR="00884897" w:rsidRDefault="00057760" w:rsidP="00884897">
      <w:pPr>
        <w:pStyle w:val="Heading2"/>
      </w:pPr>
      <w:r>
        <w:t xml:space="preserve">1. </w:t>
      </w:r>
      <w:r w:rsidR="00884897">
        <w:t>Please can you provide the number of STOs (total and broken down by division).</w:t>
      </w:r>
    </w:p>
    <w:p w14:paraId="014E0AF4" w14:textId="25D94381" w:rsidR="00057760" w:rsidRPr="00057760" w:rsidRDefault="00057760" w:rsidP="00057760">
      <w:r>
        <w:t xml:space="preserve">I </w:t>
      </w:r>
      <w:r>
        <w:t xml:space="preserve">have interpreted ‘STO’ to refer </w:t>
      </w:r>
      <w:r w:rsidRPr="00E84B5F">
        <w:t xml:space="preserve">Specially Trained Officers (STOs) who are trained in the use of Conducted Energy Devices (Tasers). </w:t>
      </w:r>
      <w:r>
        <w:t xml:space="preserve"> </w:t>
      </w:r>
    </w:p>
    <w:p w14:paraId="2CCA55FE" w14:textId="5527886A" w:rsidR="008A2EDF" w:rsidRDefault="00057760" w:rsidP="008A2EDF">
      <w:r>
        <w:t xml:space="preserve">On that basis </w:t>
      </w:r>
      <w:r w:rsidR="00267B98">
        <w:t xml:space="preserve">I can confirm that there are 1953 </w:t>
      </w:r>
      <w:r w:rsidR="008A2EDF">
        <w:t>STOs within Police Scotland. Please note that t</w:t>
      </w:r>
      <w:r w:rsidR="008A2EDF" w:rsidRPr="00B06F3B">
        <w:t>h</w:t>
      </w:r>
      <w:r w:rsidR="008A2EDF">
        <w:t xml:space="preserve">is </w:t>
      </w:r>
      <w:r w:rsidR="008A2EDF" w:rsidRPr="00B06F3B">
        <w:t>figure include</w:t>
      </w:r>
      <w:r w:rsidR="008A2EDF">
        <w:t>s</w:t>
      </w:r>
      <w:r w:rsidR="008A2EDF" w:rsidRPr="00B06F3B">
        <w:t xml:space="preserve"> those officers currently marked as </w:t>
      </w:r>
      <w:r w:rsidR="008A2EDF">
        <w:t>T</w:t>
      </w:r>
      <w:r w:rsidR="008A2EDF" w:rsidRPr="00B06F3B">
        <w:t>emporarily Withdrawn from STO duties.</w:t>
      </w:r>
    </w:p>
    <w:p w14:paraId="3B3703F7" w14:textId="3D1BABDE" w:rsidR="001A25CA" w:rsidRDefault="00057760" w:rsidP="001A25CA">
      <w:r>
        <w:t xml:space="preserve">A </w:t>
      </w:r>
      <w:r w:rsidR="0039190D">
        <w:t xml:space="preserve">divisional </w:t>
      </w:r>
      <w:r>
        <w:t xml:space="preserve">breakdown of STO </w:t>
      </w:r>
      <w:r w:rsidR="008A2EDF">
        <w:t xml:space="preserve">numbers </w:t>
      </w:r>
      <w:r w:rsidR="0039190D">
        <w:t>is</w:t>
      </w:r>
      <w:r w:rsidR="00884897">
        <w:t xml:space="preserve"> held by Police Scotland but I am refusing to provide it in terms of s</w:t>
      </w:r>
      <w:r w:rsidR="00884897" w:rsidRPr="00453F0A">
        <w:t>ection 16</w:t>
      </w:r>
      <w:r w:rsidR="00884897">
        <w:t>(1) of the Act on the basis that the following exemption appl</w:t>
      </w:r>
      <w:r w:rsidR="001A25CA">
        <w:t xml:space="preserve">ies: </w:t>
      </w:r>
    </w:p>
    <w:p w14:paraId="76E8D112" w14:textId="489FEF40" w:rsidR="001A25CA" w:rsidRDefault="001A25CA" w:rsidP="001A25CA">
      <w:r>
        <w:t xml:space="preserve">35(1)(a)&amp;(b) – Law Enforcement </w:t>
      </w:r>
    </w:p>
    <w:p w14:paraId="64A745CB" w14:textId="4494392F" w:rsidR="001A25CA" w:rsidRDefault="001A25CA" w:rsidP="001A25CA">
      <w:r>
        <w:t xml:space="preserve">Information is exempt information if its disclosure under this Act would or would be likely to prejudice substantially the prevention or detection of crime and the apprehension or prosecution of offenders. </w:t>
      </w:r>
    </w:p>
    <w:p w14:paraId="752E6AFE" w14:textId="77777777" w:rsidR="00057760" w:rsidRDefault="001A25CA" w:rsidP="008A2EDF">
      <w:r>
        <w:t xml:space="preserve">Public safety is of paramount importance and disclosure of this information would allow criminals the ability to assess the capability of Police Scotland. </w:t>
      </w:r>
    </w:p>
    <w:p w14:paraId="6CA82519" w14:textId="77777777" w:rsidR="00057760" w:rsidRDefault="001A25CA" w:rsidP="008A2EDF">
      <w:r>
        <w:t xml:space="preserve">Disclosure of this information would enable criminals to build a picture of resources and capabilities and as such would allow them to carry out their criminal activities. </w:t>
      </w:r>
    </w:p>
    <w:p w14:paraId="7B085066" w14:textId="77777777" w:rsidR="00057760" w:rsidRDefault="001A25CA" w:rsidP="008A2EDF">
      <w:r>
        <w:t>To disclose this information into the public domain would compromise the effective delivery of operational law enforcement. In addition, t</w:t>
      </w:r>
      <w:r w:rsidR="008A2EDF" w:rsidRPr="0030559E">
        <w:t xml:space="preserve">he requested information, if disclosed, could be used to calculate how and when resources are allocated within the specialist areas of protection. </w:t>
      </w:r>
    </w:p>
    <w:p w14:paraId="2BE11E61" w14:textId="09A43169" w:rsidR="00884897" w:rsidRDefault="008A2EDF" w:rsidP="008A2EDF">
      <w:r w:rsidRPr="0030559E">
        <w:t>Those with criminal intent would then be in a position to more accurately estimate the resources allocated to protect such individuals in the future</w:t>
      </w:r>
      <w:r>
        <w:t>.</w:t>
      </w:r>
    </w:p>
    <w:p w14:paraId="0F161CED" w14:textId="1DC48586" w:rsidR="00EE0ACF" w:rsidRDefault="00EE0ACF" w:rsidP="008A2EDF">
      <w:r>
        <w:t>This is a non-absolute exemption and requires a public interest test.</w:t>
      </w:r>
    </w:p>
    <w:p w14:paraId="72179E3E" w14:textId="1B4C4AA9" w:rsidR="00EE0ACF" w:rsidRDefault="00EE0ACF" w:rsidP="008A2EDF">
      <w:r>
        <w:lastRenderedPageBreak/>
        <w:t>Public interest test:</w:t>
      </w:r>
    </w:p>
    <w:p w14:paraId="27DFD4E5" w14:textId="219260EF" w:rsidR="00EE0ACF" w:rsidRDefault="00EE0ACF" w:rsidP="00EE0ACF">
      <w:r>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would contribute to the accuracy of that debate.  </w:t>
      </w:r>
    </w:p>
    <w:p w14:paraId="2E92DFDE" w14:textId="5B105FE6" w:rsidR="00EE0ACF" w:rsidRDefault="00EE0ACF" w:rsidP="00057760">
      <w:r>
        <w:t xml:space="preserve">However the applicability of the exemption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C9FC6B3" w14:textId="77777777" w:rsidR="00057760" w:rsidRDefault="00057760" w:rsidP="00057760"/>
    <w:p w14:paraId="2351E1BB" w14:textId="0A0745B9" w:rsidR="00884897" w:rsidRDefault="00057760" w:rsidP="00884897">
      <w:pPr>
        <w:pStyle w:val="Heading2"/>
      </w:pPr>
      <w:r>
        <w:t xml:space="preserve">2. </w:t>
      </w:r>
      <w:r w:rsidR="00884897">
        <w:t>Please provide a list of Taser hub locations and the number of Tasers at each hub.</w:t>
      </w:r>
    </w:p>
    <w:p w14:paraId="7099D3BD" w14:textId="77777777" w:rsidR="00267B98" w:rsidRDefault="00884897" w:rsidP="00884897">
      <w:r>
        <w:t xml:space="preserve">I can confirm that </w:t>
      </w:r>
      <w:r w:rsidR="00267B98">
        <w:t xml:space="preserve">Police Scotland have 137 Taser Hubs with a total of 504 devices nationally. </w:t>
      </w:r>
    </w:p>
    <w:p w14:paraId="3061FF45" w14:textId="09014F4C" w:rsidR="001A25CA" w:rsidRDefault="00267B98" w:rsidP="00884897">
      <w:r>
        <w:t xml:space="preserve">The specific locations and numbers of devices at each location is </w:t>
      </w:r>
      <w:r w:rsidR="00884897">
        <w:t>information held by Police Scotland, but I am refusing to provide it in terms of s</w:t>
      </w:r>
      <w:r w:rsidR="00884897" w:rsidRPr="00453F0A">
        <w:t>ection 16</w:t>
      </w:r>
      <w:r w:rsidR="00884897">
        <w:t xml:space="preserve">(1) of the Act on the basis that the following exemption applies: </w:t>
      </w:r>
    </w:p>
    <w:p w14:paraId="14052C96" w14:textId="0F4C6896" w:rsidR="001A25CA" w:rsidRDefault="001A25CA" w:rsidP="001A25CA">
      <w:r>
        <w:t>35(1)(a)&amp;(b) – Law Enforcement.</w:t>
      </w:r>
    </w:p>
    <w:p w14:paraId="7F413F9C" w14:textId="0868E138" w:rsidR="001A25CA" w:rsidRDefault="00057760" w:rsidP="001A25CA">
      <w:r>
        <w:t>As detailed above, i</w:t>
      </w:r>
      <w:r w:rsidR="001A25CA">
        <w:t xml:space="preserve">nformation is exempt information if its disclosure under this Act would or would be likely to prejudice substantially the prevention or detection of crime and the apprehension or prosecution of offenders. </w:t>
      </w:r>
    </w:p>
    <w:p w14:paraId="6F6272CA" w14:textId="38349C49" w:rsidR="00884897" w:rsidRDefault="00884897" w:rsidP="00884897">
      <w:r w:rsidRPr="0030559E">
        <w:t>The requested information, if disclosed, could be used to calculate how and when resources are allocated</w:t>
      </w:r>
      <w:r w:rsidR="0039190D">
        <w:t>.  Consequently, t</w:t>
      </w:r>
      <w:r w:rsidRPr="0030559E">
        <w:t xml:space="preserve">hose with criminal intent would be in a position to more accurately estimate </w:t>
      </w:r>
      <w:r w:rsidR="0039190D">
        <w:t xml:space="preserve">those </w:t>
      </w:r>
      <w:r w:rsidRPr="0030559E">
        <w:t xml:space="preserve">resources allocated to </w:t>
      </w:r>
      <w:r w:rsidR="0039190D">
        <w:t xml:space="preserve">any particular area. </w:t>
      </w:r>
    </w:p>
    <w:p w14:paraId="360E3B94" w14:textId="555C7B27" w:rsidR="00057760" w:rsidRDefault="00057760" w:rsidP="00EE0ACF">
      <w:r>
        <w:t xml:space="preserve">The </w:t>
      </w:r>
      <w:r w:rsidR="00EE0ACF">
        <w:t>public interest test</w:t>
      </w:r>
      <w:r>
        <w:t xml:space="preserve"> would again </w:t>
      </w:r>
      <w:r>
        <w:t xml:space="preserve">favour non-disclosure of the information requested. </w:t>
      </w:r>
    </w:p>
    <w:p w14:paraId="4B0DE01C" w14:textId="77777777" w:rsidR="0039190D" w:rsidRDefault="0039190D" w:rsidP="00EE0ACF"/>
    <w:p w14:paraId="2744A549" w14:textId="52BC8537" w:rsidR="008A2EDF" w:rsidRDefault="00057760" w:rsidP="00057760">
      <w:pPr>
        <w:pStyle w:val="Heading2"/>
      </w:pPr>
      <w:r>
        <w:t xml:space="preserve">3. </w:t>
      </w:r>
      <w:r w:rsidR="00884897">
        <w:t>Please provide the number of times STOs have been deployed for each year since their introduction; the number of draws each year since introduction; and percentage discharge rate per use for each year since introduction.</w:t>
      </w:r>
    </w:p>
    <w:p w14:paraId="4625CB6C" w14:textId="77777777" w:rsidR="0039190D" w:rsidRPr="0039190D" w:rsidRDefault="0039190D" w:rsidP="0039190D"/>
    <w:p w14:paraId="7F9AAF29" w14:textId="48D17A10" w:rsidR="008A2EDF" w:rsidRPr="008A2EDF" w:rsidRDefault="008A2EDF" w:rsidP="008A2EDF">
      <w:r>
        <w:lastRenderedPageBreak/>
        <w:t>Table 1:</w:t>
      </w:r>
    </w:p>
    <w:p w14:paraId="3E76D9D4" w14:textId="443676C2" w:rsidR="008A2EDF" w:rsidRPr="00267B98" w:rsidRDefault="008A2EDF" w:rsidP="00267B98">
      <w:r>
        <w:t>Taser deployment statistics per year since introduction</w:t>
      </w:r>
      <w:r w:rsidR="00057760">
        <w:t xml:space="preserve"> (1</w:t>
      </w:r>
      <w:r w:rsidR="00057760" w:rsidRPr="00057760">
        <w:rPr>
          <w:vertAlign w:val="superscript"/>
        </w:rPr>
        <w:t>st</w:t>
      </w:r>
      <w:r w:rsidR="00057760">
        <w:t xml:space="preserve"> June 2018)</w:t>
      </w:r>
    </w:p>
    <w:tbl>
      <w:tblPr>
        <w:tblW w:w="8784" w:type="dxa"/>
        <w:tblLook w:val="04A0" w:firstRow="1" w:lastRow="0" w:firstColumn="1" w:lastColumn="0" w:noHBand="0" w:noVBand="1"/>
      </w:tblPr>
      <w:tblGrid>
        <w:gridCol w:w="1271"/>
        <w:gridCol w:w="1701"/>
        <w:gridCol w:w="1559"/>
        <w:gridCol w:w="1134"/>
        <w:gridCol w:w="1510"/>
        <w:gridCol w:w="1701"/>
      </w:tblGrid>
      <w:tr w:rsidR="00267B98" w:rsidRPr="00B06F3B" w14:paraId="458D3C53" w14:textId="77777777" w:rsidTr="00057760">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A122A14" w14:textId="77777777" w:rsidR="00267B98" w:rsidRPr="00057760" w:rsidRDefault="00267B98" w:rsidP="00267B98">
            <w:pPr>
              <w:rPr>
                <w:b/>
                <w:bCs/>
                <w:lang w:eastAsia="en-GB"/>
              </w:rPr>
            </w:pPr>
            <w:r w:rsidRPr="00057760">
              <w:rPr>
                <w:b/>
                <w:bCs/>
                <w:lang w:eastAsia="en-GB"/>
              </w:rPr>
              <w:t>Year</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5E4FAD0" w14:textId="77777777" w:rsidR="00267B98" w:rsidRPr="00057760" w:rsidRDefault="00267B98" w:rsidP="00267B98">
            <w:pPr>
              <w:rPr>
                <w:b/>
                <w:bCs/>
                <w:lang w:eastAsia="en-GB"/>
              </w:rPr>
            </w:pPr>
            <w:r w:rsidRPr="00057760">
              <w:rPr>
                <w:b/>
                <w:bCs/>
                <w:lang w:eastAsia="en-GB"/>
              </w:rPr>
              <w:t>Deployed to Incidents*</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76C439" w14:textId="77777777" w:rsidR="00267B98" w:rsidRPr="00057760" w:rsidRDefault="00267B98" w:rsidP="00267B98">
            <w:pPr>
              <w:rPr>
                <w:b/>
                <w:bCs/>
                <w:lang w:eastAsia="en-GB"/>
              </w:rPr>
            </w:pPr>
            <w:r w:rsidRPr="00057760">
              <w:rPr>
                <w:b/>
                <w:bCs/>
                <w:lang w:eastAsia="en-GB"/>
              </w:rPr>
              <w:t>Total Uses</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3527D33" w14:textId="77777777" w:rsidR="00267B98" w:rsidRPr="00057760" w:rsidRDefault="00267B98" w:rsidP="00267B98">
            <w:pPr>
              <w:rPr>
                <w:b/>
                <w:bCs/>
                <w:lang w:eastAsia="en-GB"/>
              </w:rPr>
            </w:pPr>
            <w:r w:rsidRPr="00057760">
              <w:rPr>
                <w:b/>
                <w:bCs/>
                <w:lang w:eastAsia="en-GB"/>
              </w:rPr>
              <w:t>Draws</w:t>
            </w:r>
          </w:p>
        </w:tc>
        <w:tc>
          <w:tcPr>
            <w:tcW w:w="14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E99D3BC" w14:textId="77777777" w:rsidR="00267B98" w:rsidRPr="00057760" w:rsidRDefault="00267B98" w:rsidP="00267B98">
            <w:pPr>
              <w:rPr>
                <w:b/>
                <w:bCs/>
                <w:lang w:eastAsia="en-GB"/>
              </w:rPr>
            </w:pPr>
            <w:r w:rsidRPr="00057760">
              <w:rPr>
                <w:b/>
                <w:bCs/>
                <w:lang w:eastAsia="en-GB"/>
              </w:rPr>
              <w:t>Discharges</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E5CB4B3" w14:textId="77777777" w:rsidR="00267B98" w:rsidRPr="00057760" w:rsidRDefault="00267B98" w:rsidP="00267B98">
            <w:pPr>
              <w:rPr>
                <w:b/>
                <w:bCs/>
                <w:lang w:eastAsia="en-GB"/>
              </w:rPr>
            </w:pPr>
            <w:r w:rsidRPr="00057760">
              <w:rPr>
                <w:b/>
                <w:bCs/>
                <w:lang w:eastAsia="en-GB"/>
              </w:rPr>
              <w:t>% Discharge   to use</w:t>
            </w:r>
          </w:p>
        </w:tc>
      </w:tr>
      <w:tr w:rsidR="00267B98" w:rsidRPr="00B06F3B" w14:paraId="1E4F992C"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501B63" w14:textId="1F676CE5" w:rsidR="00267B98" w:rsidRPr="0039190D" w:rsidRDefault="00267B98" w:rsidP="00267B98">
            <w:pPr>
              <w:rPr>
                <w:b/>
                <w:bCs/>
                <w:lang w:eastAsia="en-GB"/>
              </w:rPr>
            </w:pPr>
            <w:r w:rsidRPr="0039190D">
              <w:rPr>
                <w:b/>
                <w:bCs/>
                <w:lang w:eastAsia="en-GB"/>
              </w:rPr>
              <w:t>2018</w:t>
            </w:r>
            <w:r w:rsidR="00057760" w:rsidRPr="0039190D">
              <w:rPr>
                <w:b/>
                <w:bCs/>
                <w:lang w:eastAsia="en-GB"/>
              </w:rPr>
              <w:t>/</w:t>
            </w:r>
            <w:r w:rsidRPr="0039190D">
              <w:rPr>
                <w:b/>
                <w:bCs/>
                <w:lang w:eastAsia="en-GB"/>
              </w:rPr>
              <w:t>19</w:t>
            </w:r>
          </w:p>
        </w:tc>
        <w:tc>
          <w:tcPr>
            <w:tcW w:w="1701" w:type="dxa"/>
            <w:tcBorders>
              <w:top w:val="nil"/>
              <w:left w:val="nil"/>
              <w:bottom w:val="single" w:sz="4" w:space="0" w:color="auto"/>
              <w:right w:val="single" w:sz="4" w:space="0" w:color="auto"/>
            </w:tcBorders>
            <w:shd w:val="clear" w:color="auto" w:fill="auto"/>
            <w:noWrap/>
            <w:vAlign w:val="bottom"/>
            <w:hideMark/>
          </w:tcPr>
          <w:p w14:paraId="5A3779A2" w14:textId="77777777" w:rsidR="00267B98" w:rsidRPr="00B06F3B" w:rsidRDefault="00267B98" w:rsidP="00267B98">
            <w:pPr>
              <w:rPr>
                <w:lang w:eastAsia="en-GB"/>
              </w:rPr>
            </w:pPr>
            <w:r w:rsidRPr="00B06F3B">
              <w:rPr>
                <w:lang w:eastAsia="en-GB"/>
              </w:rPr>
              <w:t>395</w:t>
            </w:r>
          </w:p>
        </w:tc>
        <w:tc>
          <w:tcPr>
            <w:tcW w:w="1559" w:type="dxa"/>
            <w:tcBorders>
              <w:top w:val="nil"/>
              <w:left w:val="nil"/>
              <w:bottom w:val="single" w:sz="4" w:space="0" w:color="auto"/>
              <w:right w:val="single" w:sz="4" w:space="0" w:color="auto"/>
            </w:tcBorders>
            <w:shd w:val="clear" w:color="auto" w:fill="auto"/>
            <w:noWrap/>
            <w:vAlign w:val="bottom"/>
            <w:hideMark/>
          </w:tcPr>
          <w:p w14:paraId="1D421F6F" w14:textId="77777777" w:rsidR="00267B98" w:rsidRPr="00B06F3B" w:rsidRDefault="00267B98" w:rsidP="00267B98">
            <w:pPr>
              <w:rPr>
                <w:lang w:eastAsia="en-GB"/>
              </w:rPr>
            </w:pPr>
            <w:r w:rsidRPr="00B06F3B">
              <w:rPr>
                <w:lang w:eastAsia="en-GB"/>
              </w:rPr>
              <w:t>257</w:t>
            </w:r>
          </w:p>
        </w:tc>
        <w:tc>
          <w:tcPr>
            <w:tcW w:w="1134" w:type="dxa"/>
            <w:tcBorders>
              <w:top w:val="nil"/>
              <w:left w:val="nil"/>
              <w:bottom w:val="single" w:sz="4" w:space="0" w:color="auto"/>
              <w:right w:val="single" w:sz="4" w:space="0" w:color="auto"/>
            </w:tcBorders>
            <w:shd w:val="clear" w:color="auto" w:fill="auto"/>
            <w:noWrap/>
            <w:vAlign w:val="bottom"/>
            <w:hideMark/>
          </w:tcPr>
          <w:p w14:paraId="0CBCA82A" w14:textId="77777777" w:rsidR="00267B98" w:rsidRPr="00B06F3B" w:rsidRDefault="00267B98" w:rsidP="00267B98">
            <w:pPr>
              <w:rPr>
                <w:lang w:eastAsia="en-GB"/>
              </w:rPr>
            </w:pPr>
            <w:r w:rsidRPr="00B06F3B">
              <w:rPr>
                <w:lang w:eastAsia="en-GB"/>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3C8C07A2" w14:textId="77777777" w:rsidR="00267B98" w:rsidRPr="00B06F3B" w:rsidRDefault="00267B98" w:rsidP="00267B98">
            <w:pPr>
              <w:rPr>
                <w:lang w:eastAsia="en-GB"/>
              </w:rPr>
            </w:pPr>
            <w:r w:rsidRPr="00B06F3B">
              <w:rPr>
                <w:lang w:eastAsia="en-GB"/>
              </w:rPr>
              <w:t>28</w:t>
            </w:r>
          </w:p>
        </w:tc>
        <w:tc>
          <w:tcPr>
            <w:tcW w:w="1701" w:type="dxa"/>
            <w:tcBorders>
              <w:top w:val="nil"/>
              <w:left w:val="nil"/>
              <w:bottom w:val="single" w:sz="4" w:space="0" w:color="auto"/>
              <w:right w:val="single" w:sz="4" w:space="0" w:color="auto"/>
            </w:tcBorders>
            <w:shd w:val="clear" w:color="auto" w:fill="auto"/>
            <w:noWrap/>
            <w:vAlign w:val="bottom"/>
            <w:hideMark/>
          </w:tcPr>
          <w:p w14:paraId="630DAA6A" w14:textId="77777777" w:rsidR="00267B98" w:rsidRPr="00B06F3B" w:rsidRDefault="00267B98" w:rsidP="00267B98">
            <w:pPr>
              <w:rPr>
                <w:lang w:eastAsia="en-GB"/>
              </w:rPr>
            </w:pPr>
            <w:r w:rsidRPr="00B06F3B">
              <w:rPr>
                <w:lang w:eastAsia="en-GB"/>
              </w:rPr>
              <w:t>10.9%</w:t>
            </w:r>
          </w:p>
        </w:tc>
      </w:tr>
      <w:tr w:rsidR="00267B98" w:rsidRPr="00B06F3B" w14:paraId="270F5F46"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B3FFB4" w14:textId="6F1869A1" w:rsidR="00267B98" w:rsidRPr="0039190D" w:rsidRDefault="00267B98" w:rsidP="00267B98">
            <w:pPr>
              <w:rPr>
                <w:b/>
                <w:bCs/>
                <w:lang w:eastAsia="en-GB"/>
              </w:rPr>
            </w:pPr>
            <w:r w:rsidRPr="0039190D">
              <w:rPr>
                <w:b/>
                <w:bCs/>
                <w:lang w:eastAsia="en-GB"/>
              </w:rPr>
              <w:t>2019</w:t>
            </w:r>
            <w:r w:rsidR="00057760" w:rsidRPr="0039190D">
              <w:rPr>
                <w:b/>
                <w:bCs/>
                <w:lang w:eastAsia="en-GB"/>
              </w:rPr>
              <w:t>/</w:t>
            </w:r>
            <w:r w:rsidRPr="0039190D">
              <w:rPr>
                <w:b/>
                <w:bCs/>
                <w:lang w:eastAsia="en-GB"/>
              </w:rPr>
              <w:t>20</w:t>
            </w:r>
          </w:p>
        </w:tc>
        <w:tc>
          <w:tcPr>
            <w:tcW w:w="1701" w:type="dxa"/>
            <w:tcBorders>
              <w:top w:val="nil"/>
              <w:left w:val="nil"/>
              <w:bottom w:val="single" w:sz="4" w:space="0" w:color="auto"/>
              <w:right w:val="single" w:sz="4" w:space="0" w:color="auto"/>
            </w:tcBorders>
            <w:shd w:val="clear" w:color="auto" w:fill="auto"/>
            <w:noWrap/>
            <w:vAlign w:val="bottom"/>
            <w:hideMark/>
          </w:tcPr>
          <w:p w14:paraId="0A658A9D" w14:textId="77777777" w:rsidR="00267B98" w:rsidRPr="00B06F3B" w:rsidRDefault="00267B98" w:rsidP="00267B98">
            <w:pPr>
              <w:rPr>
                <w:lang w:eastAsia="en-GB"/>
              </w:rPr>
            </w:pPr>
            <w:r w:rsidRPr="00B06F3B">
              <w:rPr>
                <w:lang w:eastAsia="en-GB"/>
              </w:rPr>
              <w:t>508</w:t>
            </w:r>
          </w:p>
        </w:tc>
        <w:tc>
          <w:tcPr>
            <w:tcW w:w="1559" w:type="dxa"/>
            <w:tcBorders>
              <w:top w:val="nil"/>
              <w:left w:val="nil"/>
              <w:bottom w:val="single" w:sz="4" w:space="0" w:color="auto"/>
              <w:right w:val="single" w:sz="4" w:space="0" w:color="auto"/>
            </w:tcBorders>
            <w:shd w:val="clear" w:color="auto" w:fill="auto"/>
            <w:noWrap/>
            <w:vAlign w:val="bottom"/>
            <w:hideMark/>
          </w:tcPr>
          <w:p w14:paraId="74836400" w14:textId="77777777" w:rsidR="00267B98" w:rsidRPr="00B06F3B" w:rsidRDefault="00267B98" w:rsidP="00267B98">
            <w:pPr>
              <w:rPr>
                <w:lang w:eastAsia="en-GB"/>
              </w:rPr>
            </w:pPr>
            <w:r w:rsidRPr="00B06F3B">
              <w:rPr>
                <w:lang w:eastAsia="en-GB"/>
              </w:rPr>
              <w:t>219</w:t>
            </w:r>
          </w:p>
        </w:tc>
        <w:tc>
          <w:tcPr>
            <w:tcW w:w="1134" w:type="dxa"/>
            <w:tcBorders>
              <w:top w:val="nil"/>
              <w:left w:val="nil"/>
              <w:bottom w:val="single" w:sz="4" w:space="0" w:color="auto"/>
              <w:right w:val="single" w:sz="4" w:space="0" w:color="auto"/>
            </w:tcBorders>
            <w:shd w:val="clear" w:color="auto" w:fill="auto"/>
            <w:noWrap/>
            <w:vAlign w:val="bottom"/>
            <w:hideMark/>
          </w:tcPr>
          <w:p w14:paraId="6FA05254" w14:textId="77777777" w:rsidR="00267B98" w:rsidRPr="00B06F3B" w:rsidRDefault="00267B98" w:rsidP="00267B98">
            <w:pPr>
              <w:rPr>
                <w:lang w:eastAsia="en-GB"/>
              </w:rPr>
            </w:pPr>
            <w:r w:rsidRPr="00B06F3B">
              <w:rPr>
                <w:lang w:eastAsia="en-GB"/>
              </w:rPr>
              <w:t>78</w:t>
            </w:r>
          </w:p>
        </w:tc>
        <w:tc>
          <w:tcPr>
            <w:tcW w:w="1418" w:type="dxa"/>
            <w:tcBorders>
              <w:top w:val="nil"/>
              <w:left w:val="nil"/>
              <w:bottom w:val="single" w:sz="4" w:space="0" w:color="auto"/>
              <w:right w:val="single" w:sz="4" w:space="0" w:color="auto"/>
            </w:tcBorders>
            <w:shd w:val="clear" w:color="auto" w:fill="auto"/>
            <w:noWrap/>
            <w:vAlign w:val="bottom"/>
            <w:hideMark/>
          </w:tcPr>
          <w:p w14:paraId="748343F1" w14:textId="77777777" w:rsidR="00267B98" w:rsidRPr="00B06F3B" w:rsidRDefault="00267B98" w:rsidP="00267B98">
            <w:pPr>
              <w:rPr>
                <w:lang w:eastAsia="en-GB"/>
              </w:rPr>
            </w:pPr>
            <w:r w:rsidRPr="00B06F3B">
              <w:rPr>
                <w:lang w:eastAsia="en-GB"/>
              </w:rPr>
              <w:t>19</w:t>
            </w:r>
          </w:p>
        </w:tc>
        <w:tc>
          <w:tcPr>
            <w:tcW w:w="1701" w:type="dxa"/>
            <w:tcBorders>
              <w:top w:val="nil"/>
              <w:left w:val="nil"/>
              <w:bottom w:val="single" w:sz="4" w:space="0" w:color="auto"/>
              <w:right w:val="single" w:sz="4" w:space="0" w:color="auto"/>
            </w:tcBorders>
            <w:shd w:val="clear" w:color="auto" w:fill="auto"/>
            <w:noWrap/>
            <w:vAlign w:val="bottom"/>
            <w:hideMark/>
          </w:tcPr>
          <w:p w14:paraId="6AD27640" w14:textId="77777777" w:rsidR="00267B98" w:rsidRPr="00B06F3B" w:rsidRDefault="00267B98" w:rsidP="00267B98">
            <w:pPr>
              <w:rPr>
                <w:lang w:eastAsia="en-GB"/>
              </w:rPr>
            </w:pPr>
            <w:r w:rsidRPr="00B06F3B">
              <w:rPr>
                <w:lang w:eastAsia="en-GB"/>
              </w:rPr>
              <w:t>8.7%</w:t>
            </w:r>
          </w:p>
        </w:tc>
      </w:tr>
      <w:tr w:rsidR="00267B98" w:rsidRPr="00B06F3B" w14:paraId="52686AFD"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C6DB2C" w14:textId="1A7C891A" w:rsidR="00267B98" w:rsidRPr="0039190D" w:rsidRDefault="00267B98" w:rsidP="00267B98">
            <w:pPr>
              <w:rPr>
                <w:b/>
                <w:bCs/>
                <w:lang w:eastAsia="en-GB"/>
              </w:rPr>
            </w:pPr>
            <w:r w:rsidRPr="0039190D">
              <w:rPr>
                <w:b/>
                <w:bCs/>
                <w:lang w:eastAsia="en-GB"/>
              </w:rPr>
              <w:t>2020</w:t>
            </w:r>
            <w:r w:rsidR="00057760" w:rsidRPr="0039190D">
              <w:rPr>
                <w:b/>
                <w:bCs/>
                <w:lang w:eastAsia="en-GB"/>
              </w:rPr>
              <w:t>/</w:t>
            </w:r>
            <w:r w:rsidRPr="0039190D">
              <w:rPr>
                <w:b/>
                <w:bCs/>
                <w:lang w:eastAsia="en-GB"/>
              </w:rPr>
              <w:t>21</w:t>
            </w:r>
          </w:p>
        </w:tc>
        <w:tc>
          <w:tcPr>
            <w:tcW w:w="1701" w:type="dxa"/>
            <w:tcBorders>
              <w:top w:val="nil"/>
              <w:left w:val="nil"/>
              <w:bottom w:val="single" w:sz="4" w:space="0" w:color="auto"/>
              <w:right w:val="single" w:sz="4" w:space="0" w:color="auto"/>
            </w:tcBorders>
            <w:shd w:val="clear" w:color="auto" w:fill="auto"/>
            <w:noWrap/>
            <w:vAlign w:val="bottom"/>
            <w:hideMark/>
          </w:tcPr>
          <w:p w14:paraId="4ED2D930" w14:textId="77777777" w:rsidR="00267B98" w:rsidRPr="00B06F3B" w:rsidRDefault="00267B98" w:rsidP="00267B98">
            <w:pPr>
              <w:rPr>
                <w:lang w:eastAsia="en-GB"/>
              </w:rPr>
            </w:pPr>
            <w:r w:rsidRPr="00B06F3B">
              <w:rPr>
                <w:lang w:eastAsia="en-GB"/>
              </w:rPr>
              <w:t>853</w:t>
            </w:r>
          </w:p>
        </w:tc>
        <w:tc>
          <w:tcPr>
            <w:tcW w:w="1559" w:type="dxa"/>
            <w:tcBorders>
              <w:top w:val="nil"/>
              <w:left w:val="nil"/>
              <w:bottom w:val="single" w:sz="4" w:space="0" w:color="auto"/>
              <w:right w:val="single" w:sz="4" w:space="0" w:color="auto"/>
            </w:tcBorders>
            <w:shd w:val="clear" w:color="auto" w:fill="auto"/>
            <w:noWrap/>
            <w:vAlign w:val="bottom"/>
            <w:hideMark/>
          </w:tcPr>
          <w:p w14:paraId="09E2D4BE" w14:textId="77777777" w:rsidR="00267B98" w:rsidRPr="00B06F3B" w:rsidRDefault="00267B98" w:rsidP="00267B98">
            <w:pPr>
              <w:rPr>
                <w:lang w:eastAsia="en-GB"/>
              </w:rPr>
            </w:pPr>
            <w:r w:rsidRPr="00B06F3B">
              <w:rPr>
                <w:lang w:eastAsia="en-GB"/>
              </w:rPr>
              <w:t>347</w:t>
            </w:r>
          </w:p>
        </w:tc>
        <w:tc>
          <w:tcPr>
            <w:tcW w:w="1134" w:type="dxa"/>
            <w:tcBorders>
              <w:top w:val="nil"/>
              <w:left w:val="nil"/>
              <w:bottom w:val="single" w:sz="4" w:space="0" w:color="auto"/>
              <w:right w:val="single" w:sz="4" w:space="0" w:color="auto"/>
            </w:tcBorders>
            <w:shd w:val="clear" w:color="auto" w:fill="auto"/>
            <w:noWrap/>
            <w:vAlign w:val="bottom"/>
            <w:hideMark/>
          </w:tcPr>
          <w:p w14:paraId="5E082961" w14:textId="77777777" w:rsidR="00267B98" w:rsidRPr="00B06F3B" w:rsidRDefault="00267B98" w:rsidP="00267B98">
            <w:pPr>
              <w:rPr>
                <w:lang w:eastAsia="en-GB"/>
              </w:rPr>
            </w:pPr>
            <w:r w:rsidRPr="00B06F3B">
              <w:rPr>
                <w:lang w:eastAsia="en-GB"/>
              </w:rPr>
              <w:t>119</w:t>
            </w:r>
          </w:p>
        </w:tc>
        <w:tc>
          <w:tcPr>
            <w:tcW w:w="1418" w:type="dxa"/>
            <w:tcBorders>
              <w:top w:val="nil"/>
              <w:left w:val="nil"/>
              <w:bottom w:val="single" w:sz="4" w:space="0" w:color="auto"/>
              <w:right w:val="single" w:sz="4" w:space="0" w:color="auto"/>
            </w:tcBorders>
            <w:shd w:val="clear" w:color="auto" w:fill="auto"/>
            <w:noWrap/>
            <w:vAlign w:val="bottom"/>
            <w:hideMark/>
          </w:tcPr>
          <w:p w14:paraId="7A285C74" w14:textId="77777777" w:rsidR="00267B98" w:rsidRPr="00B06F3B" w:rsidRDefault="00267B98" w:rsidP="00267B98">
            <w:pPr>
              <w:rPr>
                <w:lang w:eastAsia="en-GB"/>
              </w:rPr>
            </w:pPr>
            <w:r w:rsidRPr="00B06F3B">
              <w:rPr>
                <w:lang w:eastAsia="en-GB"/>
              </w:rPr>
              <w:t>51</w:t>
            </w:r>
          </w:p>
        </w:tc>
        <w:tc>
          <w:tcPr>
            <w:tcW w:w="1701" w:type="dxa"/>
            <w:tcBorders>
              <w:top w:val="nil"/>
              <w:left w:val="nil"/>
              <w:bottom w:val="single" w:sz="4" w:space="0" w:color="auto"/>
              <w:right w:val="single" w:sz="4" w:space="0" w:color="auto"/>
            </w:tcBorders>
            <w:shd w:val="clear" w:color="auto" w:fill="auto"/>
            <w:noWrap/>
            <w:vAlign w:val="bottom"/>
            <w:hideMark/>
          </w:tcPr>
          <w:p w14:paraId="796FD5C2" w14:textId="77777777" w:rsidR="00267B98" w:rsidRPr="00B06F3B" w:rsidRDefault="00267B98" w:rsidP="00267B98">
            <w:pPr>
              <w:rPr>
                <w:lang w:eastAsia="en-GB"/>
              </w:rPr>
            </w:pPr>
            <w:r w:rsidRPr="00B06F3B">
              <w:rPr>
                <w:lang w:eastAsia="en-GB"/>
              </w:rPr>
              <w:t>14.7%</w:t>
            </w:r>
          </w:p>
        </w:tc>
      </w:tr>
      <w:tr w:rsidR="00267B98" w:rsidRPr="00B06F3B" w14:paraId="052EC1C2"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DD3AF7" w14:textId="2DADD68A" w:rsidR="00267B98" w:rsidRPr="0039190D" w:rsidRDefault="00267B98" w:rsidP="00267B98">
            <w:pPr>
              <w:rPr>
                <w:b/>
                <w:bCs/>
                <w:lang w:eastAsia="en-GB"/>
              </w:rPr>
            </w:pPr>
            <w:r w:rsidRPr="0039190D">
              <w:rPr>
                <w:b/>
                <w:bCs/>
                <w:lang w:eastAsia="en-GB"/>
              </w:rPr>
              <w:t>2021</w:t>
            </w:r>
            <w:r w:rsidR="00057760" w:rsidRPr="0039190D">
              <w:rPr>
                <w:b/>
                <w:bCs/>
                <w:lang w:eastAsia="en-GB"/>
              </w:rPr>
              <w:t>/</w:t>
            </w:r>
            <w:r w:rsidRPr="0039190D">
              <w:rPr>
                <w:b/>
                <w:bCs/>
                <w:lang w:eastAsia="en-GB"/>
              </w:rPr>
              <w:t>22</w:t>
            </w:r>
          </w:p>
        </w:tc>
        <w:tc>
          <w:tcPr>
            <w:tcW w:w="1701" w:type="dxa"/>
            <w:tcBorders>
              <w:top w:val="nil"/>
              <w:left w:val="nil"/>
              <w:bottom w:val="single" w:sz="4" w:space="0" w:color="auto"/>
              <w:right w:val="single" w:sz="4" w:space="0" w:color="auto"/>
            </w:tcBorders>
            <w:shd w:val="clear" w:color="auto" w:fill="auto"/>
            <w:noWrap/>
            <w:vAlign w:val="bottom"/>
            <w:hideMark/>
          </w:tcPr>
          <w:p w14:paraId="642BBB0B" w14:textId="77777777" w:rsidR="00267B98" w:rsidRPr="00B06F3B" w:rsidRDefault="00267B98" w:rsidP="00267B98">
            <w:pPr>
              <w:rPr>
                <w:lang w:eastAsia="en-GB"/>
              </w:rPr>
            </w:pPr>
            <w:r w:rsidRPr="00B06F3B">
              <w:rPr>
                <w:lang w:eastAsia="en-GB"/>
              </w:rPr>
              <w:t>2440</w:t>
            </w:r>
          </w:p>
        </w:tc>
        <w:tc>
          <w:tcPr>
            <w:tcW w:w="1559" w:type="dxa"/>
            <w:tcBorders>
              <w:top w:val="nil"/>
              <w:left w:val="nil"/>
              <w:bottom w:val="single" w:sz="4" w:space="0" w:color="auto"/>
              <w:right w:val="single" w:sz="4" w:space="0" w:color="auto"/>
            </w:tcBorders>
            <w:shd w:val="clear" w:color="auto" w:fill="auto"/>
            <w:noWrap/>
            <w:vAlign w:val="bottom"/>
            <w:hideMark/>
          </w:tcPr>
          <w:p w14:paraId="7CB3805D" w14:textId="77777777" w:rsidR="00267B98" w:rsidRPr="00B06F3B" w:rsidRDefault="00267B98" w:rsidP="00267B98">
            <w:pPr>
              <w:rPr>
                <w:lang w:eastAsia="en-GB"/>
              </w:rPr>
            </w:pPr>
            <w:r w:rsidRPr="00B06F3B">
              <w:rPr>
                <w:lang w:eastAsia="en-GB"/>
              </w:rPr>
              <w:t>416</w:t>
            </w:r>
          </w:p>
        </w:tc>
        <w:tc>
          <w:tcPr>
            <w:tcW w:w="1134" w:type="dxa"/>
            <w:tcBorders>
              <w:top w:val="nil"/>
              <w:left w:val="nil"/>
              <w:bottom w:val="single" w:sz="4" w:space="0" w:color="auto"/>
              <w:right w:val="single" w:sz="4" w:space="0" w:color="auto"/>
            </w:tcBorders>
            <w:shd w:val="clear" w:color="auto" w:fill="auto"/>
            <w:noWrap/>
            <w:vAlign w:val="bottom"/>
            <w:hideMark/>
          </w:tcPr>
          <w:p w14:paraId="0D507B28" w14:textId="77777777" w:rsidR="00267B98" w:rsidRPr="00B06F3B" w:rsidRDefault="00267B98" w:rsidP="00267B98">
            <w:pPr>
              <w:rPr>
                <w:lang w:eastAsia="en-GB"/>
              </w:rPr>
            </w:pPr>
            <w:r w:rsidRPr="00B06F3B">
              <w:rPr>
                <w:lang w:eastAsia="en-GB"/>
              </w:rPr>
              <w:t>174</w:t>
            </w:r>
          </w:p>
        </w:tc>
        <w:tc>
          <w:tcPr>
            <w:tcW w:w="1418" w:type="dxa"/>
            <w:tcBorders>
              <w:top w:val="nil"/>
              <w:left w:val="nil"/>
              <w:bottom w:val="single" w:sz="4" w:space="0" w:color="auto"/>
              <w:right w:val="single" w:sz="4" w:space="0" w:color="auto"/>
            </w:tcBorders>
            <w:shd w:val="clear" w:color="auto" w:fill="auto"/>
            <w:noWrap/>
            <w:vAlign w:val="bottom"/>
            <w:hideMark/>
          </w:tcPr>
          <w:p w14:paraId="63915B50" w14:textId="77777777" w:rsidR="00267B98" w:rsidRPr="00B06F3B" w:rsidRDefault="00267B98" w:rsidP="00267B98">
            <w:pPr>
              <w:rPr>
                <w:lang w:eastAsia="en-GB"/>
              </w:rPr>
            </w:pPr>
            <w:r w:rsidRPr="00B06F3B">
              <w:rPr>
                <w:lang w:eastAsia="en-GB"/>
              </w:rPr>
              <w:t>60</w:t>
            </w:r>
          </w:p>
        </w:tc>
        <w:tc>
          <w:tcPr>
            <w:tcW w:w="1701" w:type="dxa"/>
            <w:tcBorders>
              <w:top w:val="nil"/>
              <w:left w:val="nil"/>
              <w:bottom w:val="single" w:sz="4" w:space="0" w:color="auto"/>
              <w:right w:val="single" w:sz="4" w:space="0" w:color="auto"/>
            </w:tcBorders>
            <w:shd w:val="clear" w:color="auto" w:fill="auto"/>
            <w:noWrap/>
            <w:vAlign w:val="bottom"/>
            <w:hideMark/>
          </w:tcPr>
          <w:p w14:paraId="5A68E53A" w14:textId="77777777" w:rsidR="00267B98" w:rsidRPr="00B06F3B" w:rsidRDefault="00267B98" w:rsidP="00267B98">
            <w:pPr>
              <w:rPr>
                <w:lang w:eastAsia="en-GB"/>
              </w:rPr>
            </w:pPr>
            <w:r w:rsidRPr="00B06F3B">
              <w:rPr>
                <w:lang w:eastAsia="en-GB"/>
              </w:rPr>
              <w:t>14.4%</w:t>
            </w:r>
          </w:p>
        </w:tc>
      </w:tr>
      <w:tr w:rsidR="00267B98" w:rsidRPr="00B06F3B" w14:paraId="5DACE5C2"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CBE13A" w14:textId="6D826801" w:rsidR="00267B98" w:rsidRPr="0039190D" w:rsidRDefault="00267B98" w:rsidP="00267B98">
            <w:pPr>
              <w:rPr>
                <w:b/>
                <w:bCs/>
                <w:lang w:eastAsia="en-GB"/>
              </w:rPr>
            </w:pPr>
            <w:r w:rsidRPr="0039190D">
              <w:rPr>
                <w:b/>
                <w:bCs/>
                <w:lang w:eastAsia="en-GB"/>
              </w:rPr>
              <w:t>2022</w:t>
            </w:r>
            <w:r w:rsidR="00057760" w:rsidRPr="0039190D">
              <w:rPr>
                <w:b/>
                <w:bCs/>
                <w:lang w:eastAsia="en-GB"/>
              </w:rPr>
              <w:t>/</w:t>
            </w:r>
            <w:r w:rsidRPr="0039190D">
              <w:rPr>
                <w:b/>
                <w:bCs/>
                <w:lang w:eastAsia="en-GB"/>
              </w:rPr>
              <w:t>23</w:t>
            </w:r>
          </w:p>
        </w:tc>
        <w:tc>
          <w:tcPr>
            <w:tcW w:w="1701" w:type="dxa"/>
            <w:tcBorders>
              <w:top w:val="nil"/>
              <w:left w:val="nil"/>
              <w:bottom w:val="single" w:sz="4" w:space="0" w:color="auto"/>
              <w:right w:val="single" w:sz="4" w:space="0" w:color="auto"/>
            </w:tcBorders>
            <w:shd w:val="clear" w:color="auto" w:fill="auto"/>
            <w:noWrap/>
            <w:vAlign w:val="bottom"/>
            <w:hideMark/>
          </w:tcPr>
          <w:p w14:paraId="418C5F4A" w14:textId="77777777" w:rsidR="00267B98" w:rsidRPr="00B06F3B" w:rsidRDefault="00267B98" w:rsidP="00267B98">
            <w:pPr>
              <w:rPr>
                <w:lang w:eastAsia="en-GB"/>
              </w:rPr>
            </w:pPr>
            <w:r w:rsidRPr="00B06F3B">
              <w:rPr>
                <w:lang w:eastAsia="en-GB"/>
              </w:rPr>
              <w:t>2576</w:t>
            </w:r>
          </w:p>
        </w:tc>
        <w:tc>
          <w:tcPr>
            <w:tcW w:w="1559" w:type="dxa"/>
            <w:tcBorders>
              <w:top w:val="nil"/>
              <w:left w:val="nil"/>
              <w:bottom w:val="single" w:sz="4" w:space="0" w:color="auto"/>
              <w:right w:val="single" w:sz="4" w:space="0" w:color="auto"/>
            </w:tcBorders>
            <w:shd w:val="clear" w:color="auto" w:fill="auto"/>
            <w:noWrap/>
            <w:vAlign w:val="bottom"/>
            <w:hideMark/>
          </w:tcPr>
          <w:p w14:paraId="41305F0B" w14:textId="77777777" w:rsidR="00267B98" w:rsidRPr="00B06F3B" w:rsidRDefault="00267B98" w:rsidP="00267B98">
            <w:pPr>
              <w:rPr>
                <w:lang w:eastAsia="en-GB"/>
              </w:rPr>
            </w:pPr>
            <w:r w:rsidRPr="00B06F3B">
              <w:rPr>
                <w:lang w:eastAsia="en-GB"/>
              </w:rPr>
              <w:t>678</w:t>
            </w:r>
          </w:p>
        </w:tc>
        <w:tc>
          <w:tcPr>
            <w:tcW w:w="1134" w:type="dxa"/>
            <w:tcBorders>
              <w:top w:val="nil"/>
              <w:left w:val="nil"/>
              <w:bottom w:val="single" w:sz="4" w:space="0" w:color="auto"/>
              <w:right w:val="single" w:sz="4" w:space="0" w:color="auto"/>
            </w:tcBorders>
            <w:shd w:val="clear" w:color="auto" w:fill="auto"/>
            <w:noWrap/>
            <w:vAlign w:val="bottom"/>
            <w:hideMark/>
          </w:tcPr>
          <w:p w14:paraId="77BAF592" w14:textId="77777777" w:rsidR="00267B98" w:rsidRPr="00B06F3B" w:rsidRDefault="00267B98" w:rsidP="00267B98">
            <w:pPr>
              <w:rPr>
                <w:lang w:eastAsia="en-GB"/>
              </w:rPr>
            </w:pPr>
            <w:r w:rsidRPr="00B06F3B">
              <w:rPr>
                <w:lang w:eastAsia="en-GB"/>
              </w:rPr>
              <w:t>242</w:t>
            </w:r>
          </w:p>
        </w:tc>
        <w:tc>
          <w:tcPr>
            <w:tcW w:w="1418" w:type="dxa"/>
            <w:tcBorders>
              <w:top w:val="nil"/>
              <w:left w:val="nil"/>
              <w:bottom w:val="single" w:sz="4" w:space="0" w:color="auto"/>
              <w:right w:val="single" w:sz="4" w:space="0" w:color="auto"/>
            </w:tcBorders>
            <w:shd w:val="clear" w:color="auto" w:fill="auto"/>
            <w:noWrap/>
            <w:vAlign w:val="bottom"/>
            <w:hideMark/>
          </w:tcPr>
          <w:p w14:paraId="5A6BD44E" w14:textId="77777777" w:rsidR="00267B98" w:rsidRPr="00B06F3B" w:rsidRDefault="00267B98" w:rsidP="00267B98">
            <w:pPr>
              <w:rPr>
                <w:lang w:eastAsia="en-GB"/>
              </w:rPr>
            </w:pPr>
            <w:r w:rsidRPr="00B06F3B">
              <w:rPr>
                <w:lang w:eastAsia="en-GB"/>
              </w:rPr>
              <w:t>71</w:t>
            </w:r>
          </w:p>
        </w:tc>
        <w:tc>
          <w:tcPr>
            <w:tcW w:w="1701" w:type="dxa"/>
            <w:tcBorders>
              <w:top w:val="nil"/>
              <w:left w:val="nil"/>
              <w:bottom w:val="single" w:sz="4" w:space="0" w:color="auto"/>
              <w:right w:val="single" w:sz="4" w:space="0" w:color="auto"/>
            </w:tcBorders>
            <w:shd w:val="clear" w:color="auto" w:fill="auto"/>
            <w:noWrap/>
            <w:vAlign w:val="bottom"/>
            <w:hideMark/>
          </w:tcPr>
          <w:p w14:paraId="75BC8E52" w14:textId="77777777" w:rsidR="00267B98" w:rsidRPr="00B06F3B" w:rsidRDefault="00267B98" w:rsidP="00267B98">
            <w:pPr>
              <w:rPr>
                <w:lang w:eastAsia="en-GB"/>
              </w:rPr>
            </w:pPr>
            <w:r w:rsidRPr="00B06F3B">
              <w:rPr>
                <w:lang w:eastAsia="en-GB"/>
              </w:rPr>
              <w:t>10.5%</w:t>
            </w:r>
          </w:p>
        </w:tc>
      </w:tr>
      <w:tr w:rsidR="00267B98" w:rsidRPr="00B06F3B" w14:paraId="22F7D232" w14:textId="77777777" w:rsidTr="00057760">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CF73AFD" w14:textId="7475963F" w:rsidR="00267B98" w:rsidRPr="0039190D" w:rsidRDefault="00267B98" w:rsidP="00267B98">
            <w:pPr>
              <w:rPr>
                <w:b/>
                <w:bCs/>
                <w:lang w:eastAsia="en-GB"/>
              </w:rPr>
            </w:pPr>
            <w:r w:rsidRPr="0039190D">
              <w:rPr>
                <w:b/>
                <w:bCs/>
                <w:lang w:eastAsia="en-GB"/>
              </w:rPr>
              <w:t>2023</w:t>
            </w:r>
            <w:r w:rsidR="00057760" w:rsidRPr="0039190D">
              <w:rPr>
                <w:b/>
                <w:bCs/>
                <w:lang w:eastAsia="en-GB"/>
              </w:rPr>
              <w:t>/</w:t>
            </w:r>
            <w:r w:rsidRPr="0039190D">
              <w:rPr>
                <w:b/>
                <w:bCs/>
                <w:lang w:eastAsia="en-GB"/>
              </w:rPr>
              <w:t>24</w:t>
            </w:r>
          </w:p>
        </w:tc>
        <w:tc>
          <w:tcPr>
            <w:tcW w:w="1701" w:type="dxa"/>
            <w:tcBorders>
              <w:top w:val="nil"/>
              <w:left w:val="nil"/>
              <w:bottom w:val="single" w:sz="4" w:space="0" w:color="auto"/>
              <w:right w:val="single" w:sz="4" w:space="0" w:color="auto"/>
            </w:tcBorders>
            <w:shd w:val="clear" w:color="auto" w:fill="auto"/>
            <w:noWrap/>
            <w:vAlign w:val="bottom"/>
            <w:hideMark/>
          </w:tcPr>
          <w:p w14:paraId="439ECAE2" w14:textId="77777777" w:rsidR="00267B98" w:rsidRPr="00B06F3B" w:rsidRDefault="00267B98" w:rsidP="00267B98">
            <w:pPr>
              <w:rPr>
                <w:lang w:eastAsia="en-GB"/>
              </w:rPr>
            </w:pPr>
            <w:r w:rsidRPr="00B06F3B">
              <w:rPr>
                <w:lang w:eastAsia="en-GB"/>
              </w:rPr>
              <w:t>3017</w:t>
            </w:r>
          </w:p>
        </w:tc>
        <w:tc>
          <w:tcPr>
            <w:tcW w:w="1559" w:type="dxa"/>
            <w:tcBorders>
              <w:top w:val="nil"/>
              <w:left w:val="nil"/>
              <w:bottom w:val="single" w:sz="4" w:space="0" w:color="auto"/>
              <w:right w:val="single" w:sz="4" w:space="0" w:color="auto"/>
            </w:tcBorders>
            <w:shd w:val="clear" w:color="auto" w:fill="auto"/>
            <w:noWrap/>
            <w:vAlign w:val="bottom"/>
            <w:hideMark/>
          </w:tcPr>
          <w:p w14:paraId="3DDA2B2D" w14:textId="77777777" w:rsidR="00267B98" w:rsidRPr="00B06F3B" w:rsidRDefault="00267B98" w:rsidP="00267B98">
            <w:pPr>
              <w:rPr>
                <w:lang w:eastAsia="en-GB"/>
              </w:rPr>
            </w:pPr>
            <w:r w:rsidRPr="00B06F3B">
              <w:rPr>
                <w:lang w:eastAsia="en-GB"/>
              </w:rPr>
              <w:t>855</w:t>
            </w:r>
          </w:p>
        </w:tc>
        <w:tc>
          <w:tcPr>
            <w:tcW w:w="1134" w:type="dxa"/>
            <w:tcBorders>
              <w:top w:val="nil"/>
              <w:left w:val="nil"/>
              <w:bottom w:val="single" w:sz="4" w:space="0" w:color="auto"/>
              <w:right w:val="single" w:sz="4" w:space="0" w:color="auto"/>
            </w:tcBorders>
            <w:shd w:val="clear" w:color="auto" w:fill="auto"/>
            <w:noWrap/>
            <w:vAlign w:val="bottom"/>
            <w:hideMark/>
          </w:tcPr>
          <w:p w14:paraId="75B7267A" w14:textId="77777777" w:rsidR="00267B98" w:rsidRPr="00B06F3B" w:rsidRDefault="00267B98" w:rsidP="00267B98">
            <w:pPr>
              <w:rPr>
                <w:lang w:eastAsia="en-GB"/>
              </w:rPr>
            </w:pPr>
            <w:r w:rsidRPr="00B06F3B">
              <w:rPr>
                <w:lang w:eastAsia="en-GB"/>
              </w:rPr>
              <w:t>278</w:t>
            </w:r>
          </w:p>
        </w:tc>
        <w:tc>
          <w:tcPr>
            <w:tcW w:w="1418" w:type="dxa"/>
            <w:tcBorders>
              <w:top w:val="nil"/>
              <w:left w:val="nil"/>
              <w:bottom w:val="single" w:sz="4" w:space="0" w:color="auto"/>
              <w:right w:val="single" w:sz="4" w:space="0" w:color="auto"/>
            </w:tcBorders>
            <w:shd w:val="clear" w:color="auto" w:fill="auto"/>
            <w:noWrap/>
            <w:vAlign w:val="bottom"/>
            <w:hideMark/>
          </w:tcPr>
          <w:p w14:paraId="0E4BFAF4" w14:textId="77777777" w:rsidR="00267B98" w:rsidRPr="00B06F3B" w:rsidRDefault="00267B98" w:rsidP="00267B98">
            <w:pPr>
              <w:rPr>
                <w:lang w:eastAsia="en-GB"/>
              </w:rPr>
            </w:pPr>
            <w:r w:rsidRPr="00B06F3B">
              <w:rPr>
                <w:lang w:eastAsia="en-GB"/>
              </w:rPr>
              <w:t>88</w:t>
            </w:r>
          </w:p>
        </w:tc>
        <w:tc>
          <w:tcPr>
            <w:tcW w:w="1701" w:type="dxa"/>
            <w:tcBorders>
              <w:top w:val="nil"/>
              <w:left w:val="nil"/>
              <w:bottom w:val="single" w:sz="4" w:space="0" w:color="auto"/>
              <w:right w:val="single" w:sz="4" w:space="0" w:color="auto"/>
            </w:tcBorders>
            <w:shd w:val="clear" w:color="auto" w:fill="auto"/>
            <w:noWrap/>
            <w:vAlign w:val="bottom"/>
            <w:hideMark/>
          </w:tcPr>
          <w:p w14:paraId="13E71405" w14:textId="77777777" w:rsidR="00267B98" w:rsidRPr="00B06F3B" w:rsidRDefault="00267B98" w:rsidP="00267B98">
            <w:pPr>
              <w:rPr>
                <w:lang w:eastAsia="en-GB"/>
              </w:rPr>
            </w:pPr>
            <w:r w:rsidRPr="00B06F3B">
              <w:rPr>
                <w:lang w:eastAsia="en-GB"/>
              </w:rPr>
              <w:t>10.3%</w:t>
            </w:r>
          </w:p>
        </w:tc>
      </w:tr>
    </w:tbl>
    <w:p w14:paraId="21A8FC04" w14:textId="77777777" w:rsidR="00057760" w:rsidRDefault="00057760" w:rsidP="00057760">
      <w:pPr>
        <w:pStyle w:val="ListParagraph"/>
      </w:pPr>
    </w:p>
    <w:p w14:paraId="34BDABBD" w14:textId="7876B9E7" w:rsidR="00BF6B81" w:rsidRDefault="00057760" w:rsidP="00057760">
      <w:r>
        <w:t>*</w:t>
      </w:r>
      <w:r w:rsidR="00267B98">
        <w:t xml:space="preserve">Please note that </w:t>
      </w:r>
      <w:r w:rsidR="00267B98" w:rsidRPr="00B06F3B">
        <w:t xml:space="preserve">deployed to incidents includes </w:t>
      </w:r>
      <w:r w:rsidR="00267B98">
        <w:t xml:space="preserve">Area </w:t>
      </w:r>
      <w:r w:rsidR="00267B98" w:rsidRPr="00B06F3B">
        <w:t xml:space="preserve">Control Room </w:t>
      </w:r>
      <w:r w:rsidR="00267B98">
        <w:t xml:space="preserve">(ACR) </w:t>
      </w:r>
      <w:r w:rsidR="00267B98" w:rsidRPr="00B06F3B">
        <w:t xml:space="preserve">deployment </w:t>
      </w:r>
      <w:r w:rsidR="00267B98">
        <w:t xml:space="preserve">of an STO </w:t>
      </w:r>
      <w:r w:rsidR="00267B98" w:rsidRPr="00B06F3B">
        <w:t xml:space="preserve">and </w:t>
      </w:r>
      <w:r w:rsidR="00267B98">
        <w:t>an STO</w:t>
      </w:r>
      <w:r w:rsidR="00267B98" w:rsidRPr="00B06F3B">
        <w:t xml:space="preserve"> not deployed by ACR who self-deploy</w:t>
      </w:r>
      <w:r w:rsidR="00267B98">
        <w:t>ed</w:t>
      </w:r>
      <w:r w:rsidR="00267B98" w:rsidRPr="00B06F3B">
        <w:t xml:space="preserve"> at the incident. </w:t>
      </w:r>
    </w:p>
    <w:p w14:paraId="4FA99D7E" w14:textId="77777777" w:rsidR="00057760" w:rsidRPr="00B11A55" w:rsidRDefault="00057760" w:rsidP="0005776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D6D09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FF51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7A75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4992A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59097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FD82A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190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001F64"/>
    <w:multiLevelType w:val="hybridMultilevel"/>
    <w:tmpl w:val="6930E702"/>
    <w:lvl w:ilvl="0" w:tplc="A4362936">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38746">
    <w:abstractNumId w:val="0"/>
  </w:num>
  <w:num w:numId="2" w16cid:durableId="32259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7760"/>
    <w:rsid w:val="00090F3B"/>
    <w:rsid w:val="000E2F19"/>
    <w:rsid w:val="000E6526"/>
    <w:rsid w:val="00141533"/>
    <w:rsid w:val="00167528"/>
    <w:rsid w:val="00195CC4"/>
    <w:rsid w:val="001A25CA"/>
    <w:rsid w:val="00207326"/>
    <w:rsid w:val="00253DF6"/>
    <w:rsid w:val="00255F1E"/>
    <w:rsid w:val="00267B98"/>
    <w:rsid w:val="002A6881"/>
    <w:rsid w:val="0036503B"/>
    <w:rsid w:val="0039190D"/>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84897"/>
    <w:rsid w:val="008964EF"/>
    <w:rsid w:val="008A2ED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E7DDF"/>
    <w:rsid w:val="00BF6B81"/>
    <w:rsid w:val="00C077A8"/>
    <w:rsid w:val="00C14FF4"/>
    <w:rsid w:val="00C606A2"/>
    <w:rsid w:val="00C63872"/>
    <w:rsid w:val="00C84948"/>
    <w:rsid w:val="00CF1111"/>
    <w:rsid w:val="00D05706"/>
    <w:rsid w:val="00D27DC5"/>
    <w:rsid w:val="00D47E36"/>
    <w:rsid w:val="00E55D79"/>
    <w:rsid w:val="00EE0ACF"/>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6967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4611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2024-05-20T10:56:00Z</dcterms:created>
  <dcterms:modified xsi:type="dcterms:W3CDTF">2024-05-20T11:00:00Z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