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14962">
              <w:t>-1474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43397">
              <w:t>30</w:t>
            </w:r>
            <w:r w:rsidR="00B14962">
              <w:t xml:space="preserve"> 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14962" w:rsidRDefault="00B14962" w:rsidP="00B14962">
      <w:pPr>
        <w:pStyle w:val="Heading2"/>
        <w:rPr>
          <w:rFonts w:eastAsia="Times New Roman"/>
        </w:rPr>
      </w:pPr>
      <w:r>
        <w:rPr>
          <w:rFonts w:eastAsia="Times New Roman"/>
        </w:rPr>
        <w:t>Operation</w:t>
      </w:r>
      <w:r w:rsidRPr="00B14962">
        <w:rPr>
          <w:rFonts w:eastAsia="Times New Roman"/>
        </w:rPr>
        <w:t xml:space="preserve"> Escalade</w:t>
      </w:r>
      <w:r>
        <w:rPr>
          <w:rFonts w:eastAsia="Times New Roman"/>
        </w:rPr>
        <w:t xml:space="preserve"> - can you provide details of all costs relating to this operation with as detailed a breakdown as possible? </w:t>
      </w:r>
    </w:p>
    <w:p w:rsidR="008754D9" w:rsidRPr="00B524D9" w:rsidRDefault="008754D9" w:rsidP="008754D9">
      <w:r>
        <w:t xml:space="preserve">I </w:t>
      </w:r>
      <w:r w:rsidRPr="00B524D9">
        <w:t xml:space="preserve">can advise that Police Scotland does not hold all of the above requested information. </w:t>
      </w:r>
    </w:p>
    <w:p w:rsidR="008754D9" w:rsidRPr="00B524D9" w:rsidRDefault="008754D9" w:rsidP="008754D9">
      <w:r w:rsidRPr="00B524D9">
        <w:t>In terms of Section 17 of the Act, this letter represents a formal notice that</w:t>
      </w:r>
      <w:r>
        <w:t xml:space="preserve"> all the requested</w:t>
      </w:r>
      <w:r w:rsidRPr="00B524D9">
        <w:t xml:space="preserve"> information is not held.</w:t>
      </w:r>
    </w:p>
    <w:p w:rsidR="008754D9" w:rsidRPr="00B524D9" w:rsidRDefault="008754D9" w:rsidP="008754D9">
      <w:r w:rsidRPr="00B524D9">
        <w:t xml:space="preserve">By way of explanation, the total costs relating to any </w:t>
      </w:r>
      <w:r>
        <w:t>operation</w:t>
      </w:r>
      <w:r w:rsidRPr="00B524D9">
        <w:t xml:space="preserve"> are difficult to quantify as the nature of policing means that officers are deployed to wherever their services are most required.</w:t>
      </w:r>
    </w:p>
    <w:p w:rsidR="008754D9" w:rsidRPr="00B524D9" w:rsidRDefault="008754D9" w:rsidP="008754D9">
      <w:r w:rsidRPr="00B524D9">
        <w:t xml:space="preserve">Furthermore, the number of officers required throughout an </w:t>
      </w:r>
      <w:r>
        <w:t>operation</w:t>
      </w:r>
      <w:r w:rsidRPr="00B524D9">
        <w:t xml:space="preserve"> will fluctuate and officers involved can be redeployed to other duties at any time, dependant on their skillsets.</w:t>
      </w:r>
    </w:p>
    <w:p w:rsidR="008754D9" w:rsidRPr="000D28EF" w:rsidRDefault="008754D9" w:rsidP="008754D9">
      <w:pPr>
        <w:rPr>
          <w:rFonts w:eastAsia="Times New Roman"/>
          <w:color w:val="000000"/>
        </w:rPr>
      </w:pPr>
      <w:r w:rsidRPr="00B524D9">
        <w:t xml:space="preserve">Police Scotland, may keep limited records for </w:t>
      </w:r>
      <w:r>
        <w:t>operations</w:t>
      </w:r>
      <w:r w:rsidR="000D28EF">
        <w:t xml:space="preserve"> costs, however, these </w:t>
      </w:r>
      <w:r w:rsidRPr="00B524D9">
        <w:t>do not</w:t>
      </w:r>
      <w:r w:rsidR="000D28EF">
        <w:t xml:space="preserve"> provide an accurate reflection, </w:t>
      </w:r>
      <w:r w:rsidRPr="00B524D9">
        <w:t>for the r</w:t>
      </w:r>
      <w:r w:rsidR="000D28EF">
        <w:t>easons stated above of the total cost for an operation</w:t>
      </w:r>
      <w:r w:rsidRPr="00B524D9">
        <w:t>. The costs do not include, for example, officer hours where that officer would have been on duty anyway and as such are not recorded as a specific expense</w:t>
      </w:r>
      <w:r w:rsidR="000D28EF">
        <w:t xml:space="preserve"> to a particular operation</w:t>
      </w:r>
      <w:r w:rsidRPr="00B524D9">
        <w:t>.</w:t>
      </w:r>
      <w:r w:rsidRPr="00B524D9">
        <w:rPr>
          <w:rFonts w:eastAsia="Times New Roman"/>
          <w:color w:val="000000"/>
        </w:rPr>
        <w:t xml:space="preserve"> </w:t>
      </w:r>
    </w:p>
    <w:p w:rsidR="00B14962" w:rsidRDefault="000D28EF" w:rsidP="00B14962">
      <w:pPr>
        <w:rPr>
          <w:rFonts w:eastAsia="Times New Roman"/>
        </w:rPr>
      </w:pPr>
      <w:r>
        <w:rPr>
          <w:rFonts w:eastAsia="Times New Roman"/>
        </w:rPr>
        <w:t xml:space="preserve">To be of assistance, </w:t>
      </w:r>
      <w:r w:rsidR="008754D9">
        <w:rPr>
          <w:rFonts w:eastAsia="Times New Roman"/>
        </w:rPr>
        <w:t>I have provided, at the end of this letter,</w:t>
      </w:r>
      <w:r w:rsidR="00743397">
        <w:rPr>
          <w:rFonts w:eastAsia="Times New Roman"/>
        </w:rPr>
        <w:t xml:space="preserve"> a yearly breakdown of costs held for this operation.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8754D9" w:rsidRDefault="008754D9" w:rsidP="00793DD5">
      <w:pPr>
        <w:sectPr w:rsidR="008754D9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:rsidR="008754D9" w:rsidRDefault="008754D9" w:rsidP="008754D9">
      <w:pPr>
        <w:rPr>
          <w:rFonts w:eastAsia="Times New Roman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29"/>
        <w:gridCol w:w="1423"/>
        <w:gridCol w:w="1559"/>
        <w:gridCol w:w="1418"/>
        <w:gridCol w:w="1559"/>
        <w:gridCol w:w="1559"/>
        <w:gridCol w:w="1134"/>
        <w:gridCol w:w="1134"/>
      </w:tblGrid>
      <w:tr w:rsidR="008754D9" w:rsidTr="008754D9">
        <w:trPr>
          <w:cantSplit/>
          <w:trHeight w:val="1134"/>
        </w:trPr>
        <w:tc>
          <w:tcPr>
            <w:tcW w:w="1129" w:type="dxa"/>
            <w:shd w:val="clear" w:color="auto" w:fill="5B9BD5" w:themeFill="accent1"/>
          </w:tcPr>
          <w:p w:rsidR="008754D9" w:rsidRPr="00743397" w:rsidRDefault="008754D9" w:rsidP="008754D9">
            <w:pPr>
              <w:tabs>
                <w:tab w:val="left" w:pos="6096"/>
              </w:tabs>
              <w:rPr>
                <w:rFonts w:eastAsia="Times New Roman"/>
                <w:b/>
              </w:rPr>
            </w:pPr>
            <w:r w:rsidRPr="00743397">
              <w:rPr>
                <w:rFonts w:eastAsia="Times New Roman"/>
                <w:b/>
              </w:rPr>
              <w:t>YEAR</w:t>
            </w:r>
          </w:p>
        </w:tc>
        <w:tc>
          <w:tcPr>
            <w:tcW w:w="1423" w:type="dxa"/>
            <w:shd w:val="clear" w:color="auto" w:fill="5B9BD5" w:themeFill="accent1"/>
          </w:tcPr>
          <w:p w:rsidR="008754D9" w:rsidRPr="00743397" w:rsidRDefault="008754D9" w:rsidP="008754D9">
            <w:pPr>
              <w:tabs>
                <w:tab w:val="left" w:pos="6096"/>
              </w:tabs>
              <w:rPr>
                <w:rFonts w:eastAsia="Times New Roman"/>
                <w:b/>
              </w:rPr>
            </w:pPr>
            <w:r w:rsidRPr="00743397">
              <w:rPr>
                <w:rFonts w:eastAsia="Times New Roman"/>
                <w:b/>
              </w:rPr>
              <w:t>2017</w:t>
            </w:r>
          </w:p>
        </w:tc>
        <w:tc>
          <w:tcPr>
            <w:tcW w:w="1559" w:type="dxa"/>
            <w:shd w:val="clear" w:color="auto" w:fill="5B9BD5" w:themeFill="accent1"/>
          </w:tcPr>
          <w:p w:rsidR="008754D9" w:rsidRPr="00743397" w:rsidRDefault="008754D9" w:rsidP="008754D9">
            <w:pPr>
              <w:tabs>
                <w:tab w:val="left" w:pos="6096"/>
              </w:tabs>
              <w:rPr>
                <w:rFonts w:eastAsia="Times New Roman"/>
                <w:b/>
              </w:rPr>
            </w:pPr>
            <w:r w:rsidRPr="00743397">
              <w:rPr>
                <w:rFonts w:eastAsia="Times New Roman"/>
                <w:b/>
              </w:rPr>
              <w:t>2018`</w:t>
            </w:r>
          </w:p>
        </w:tc>
        <w:tc>
          <w:tcPr>
            <w:tcW w:w="1418" w:type="dxa"/>
            <w:shd w:val="clear" w:color="auto" w:fill="5B9BD5" w:themeFill="accent1"/>
          </w:tcPr>
          <w:p w:rsidR="008754D9" w:rsidRPr="00743397" w:rsidRDefault="008754D9" w:rsidP="008754D9">
            <w:pPr>
              <w:tabs>
                <w:tab w:val="left" w:pos="6096"/>
              </w:tabs>
              <w:rPr>
                <w:rFonts w:eastAsia="Times New Roman"/>
                <w:b/>
              </w:rPr>
            </w:pPr>
            <w:r w:rsidRPr="00743397">
              <w:rPr>
                <w:rFonts w:eastAsia="Times New Roman"/>
                <w:b/>
              </w:rPr>
              <w:t>2019</w:t>
            </w:r>
          </w:p>
        </w:tc>
        <w:tc>
          <w:tcPr>
            <w:tcW w:w="1559" w:type="dxa"/>
            <w:shd w:val="clear" w:color="auto" w:fill="5B9BD5" w:themeFill="accent1"/>
          </w:tcPr>
          <w:p w:rsidR="008754D9" w:rsidRPr="00743397" w:rsidRDefault="008754D9" w:rsidP="008754D9">
            <w:pPr>
              <w:tabs>
                <w:tab w:val="left" w:pos="6096"/>
              </w:tabs>
              <w:rPr>
                <w:rFonts w:eastAsia="Times New Roman"/>
                <w:b/>
              </w:rPr>
            </w:pPr>
            <w:r w:rsidRPr="00743397">
              <w:rPr>
                <w:rFonts w:eastAsia="Times New Roman"/>
                <w:b/>
              </w:rPr>
              <w:t>2020</w:t>
            </w:r>
          </w:p>
        </w:tc>
        <w:tc>
          <w:tcPr>
            <w:tcW w:w="1559" w:type="dxa"/>
            <w:shd w:val="clear" w:color="auto" w:fill="5B9BD5" w:themeFill="accent1"/>
          </w:tcPr>
          <w:p w:rsidR="008754D9" w:rsidRPr="00743397" w:rsidRDefault="008754D9" w:rsidP="008754D9">
            <w:pPr>
              <w:tabs>
                <w:tab w:val="left" w:pos="6096"/>
              </w:tabs>
              <w:rPr>
                <w:rFonts w:eastAsia="Times New Roman"/>
                <w:b/>
              </w:rPr>
            </w:pPr>
            <w:r w:rsidRPr="00743397">
              <w:rPr>
                <w:rFonts w:eastAsia="Times New Roman"/>
                <w:b/>
              </w:rPr>
              <w:t>2021</w:t>
            </w:r>
          </w:p>
        </w:tc>
        <w:tc>
          <w:tcPr>
            <w:tcW w:w="1134" w:type="dxa"/>
            <w:shd w:val="clear" w:color="auto" w:fill="5B9BD5" w:themeFill="accent1"/>
          </w:tcPr>
          <w:p w:rsidR="008754D9" w:rsidRPr="00743397" w:rsidRDefault="008754D9" w:rsidP="008754D9">
            <w:pPr>
              <w:tabs>
                <w:tab w:val="left" w:pos="6096"/>
              </w:tabs>
              <w:rPr>
                <w:rFonts w:eastAsia="Times New Roman"/>
                <w:b/>
              </w:rPr>
            </w:pPr>
            <w:r w:rsidRPr="00743397">
              <w:rPr>
                <w:rFonts w:eastAsia="Times New Roman"/>
                <w:b/>
              </w:rPr>
              <w:t>2022</w:t>
            </w:r>
          </w:p>
        </w:tc>
        <w:tc>
          <w:tcPr>
            <w:tcW w:w="1134" w:type="dxa"/>
            <w:shd w:val="clear" w:color="auto" w:fill="5B9BD5" w:themeFill="accent1"/>
          </w:tcPr>
          <w:p w:rsidR="008754D9" w:rsidRPr="00743397" w:rsidRDefault="008754D9" w:rsidP="008754D9">
            <w:pPr>
              <w:tabs>
                <w:tab w:val="left" w:pos="6096"/>
              </w:tabs>
              <w:rPr>
                <w:rFonts w:eastAsia="Times New Roman"/>
                <w:b/>
              </w:rPr>
            </w:pPr>
            <w:r w:rsidRPr="00743397">
              <w:rPr>
                <w:rFonts w:eastAsia="Times New Roman"/>
                <w:b/>
              </w:rPr>
              <w:t>2023</w:t>
            </w:r>
          </w:p>
        </w:tc>
      </w:tr>
      <w:tr w:rsidR="008754D9" w:rsidTr="008754D9">
        <w:tc>
          <w:tcPr>
            <w:tcW w:w="1129" w:type="dxa"/>
          </w:tcPr>
          <w:p w:rsidR="008754D9" w:rsidRPr="008754D9" w:rsidRDefault="008754D9" w:rsidP="00C728FB">
            <w:pPr>
              <w:tabs>
                <w:tab w:val="left" w:pos="6096"/>
              </w:tabs>
              <w:rPr>
                <w:rFonts w:eastAsia="Times New Roman"/>
                <w:b/>
              </w:rPr>
            </w:pPr>
            <w:r w:rsidRPr="008754D9">
              <w:rPr>
                <w:rFonts w:eastAsia="Times New Roman"/>
                <w:b/>
              </w:rPr>
              <w:t>COSTS</w:t>
            </w:r>
          </w:p>
        </w:tc>
        <w:tc>
          <w:tcPr>
            <w:tcW w:w="1423" w:type="dxa"/>
          </w:tcPr>
          <w:p w:rsidR="008754D9" w:rsidRPr="00743397" w:rsidRDefault="008754D9" w:rsidP="00C728FB">
            <w:pPr>
              <w:rPr>
                <w:bCs/>
                <w:color w:val="000000"/>
              </w:rPr>
            </w:pPr>
            <w:r w:rsidRPr="00743397">
              <w:rPr>
                <w:bCs/>
                <w:color w:val="000000"/>
              </w:rPr>
              <w:t>£3,181.07</w:t>
            </w:r>
          </w:p>
          <w:p w:rsidR="008754D9" w:rsidRPr="00743397" w:rsidRDefault="008754D9" w:rsidP="00C728FB">
            <w:pPr>
              <w:tabs>
                <w:tab w:val="left" w:pos="6096"/>
              </w:tabs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8754D9" w:rsidRPr="00743397" w:rsidRDefault="008754D9" w:rsidP="00C728FB">
            <w:pPr>
              <w:rPr>
                <w:bCs/>
                <w:color w:val="000000"/>
              </w:rPr>
            </w:pPr>
            <w:r w:rsidRPr="00743397">
              <w:rPr>
                <w:bCs/>
                <w:color w:val="000000"/>
              </w:rPr>
              <w:t>£34,934.91</w:t>
            </w:r>
          </w:p>
          <w:p w:rsidR="008754D9" w:rsidRPr="00743397" w:rsidRDefault="008754D9" w:rsidP="00C728FB">
            <w:pPr>
              <w:tabs>
                <w:tab w:val="left" w:pos="6096"/>
              </w:tabs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8754D9" w:rsidRPr="00743397" w:rsidRDefault="008754D9" w:rsidP="00C728FB">
            <w:pPr>
              <w:rPr>
                <w:bCs/>
                <w:color w:val="000000"/>
              </w:rPr>
            </w:pPr>
            <w:r w:rsidRPr="00743397">
              <w:rPr>
                <w:bCs/>
                <w:color w:val="000000"/>
              </w:rPr>
              <w:t>£95,076.20</w:t>
            </w:r>
          </w:p>
          <w:p w:rsidR="008754D9" w:rsidRPr="00743397" w:rsidRDefault="008754D9" w:rsidP="00C728FB">
            <w:pPr>
              <w:tabs>
                <w:tab w:val="left" w:pos="6096"/>
              </w:tabs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8754D9" w:rsidRPr="00743397" w:rsidRDefault="008754D9" w:rsidP="00C728FB">
            <w:pPr>
              <w:rPr>
                <w:bCs/>
                <w:color w:val="000000"/>
              </w:rPr>
            </w:pPr>
            <w:r w:rsidRPr="00743397">
              <w:rPr>
                <w:bCs/>
                <w:color w:val="000000"/>
              </w:rPr>
              <w:t>£42,740.05</w:t>
            </w:r>
          </w:p>
          <w:p w:rsidR="008754D9" w:rsidRPr="00743397" w:rsidRDefault="008754D9" w:rsidP="00C728FB">
            <w:pPr>
              <w:tabs>
                <w:tab w:val="left" w:pos="6096"/>
              </w:tabs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8754D9" w:rsidRPr="00743397" w:rsidRDefault="008754D9" w:rsidP="00C728FB">
            <w:pPr>
              <w:rPr>
                <w:bCs/>
                <w:color w:val="000000"/>
              </w:rPr>
            </w:pPr>
            <w:r w:rsidRPr="00743397">
              <w:rPr>
                <w:bCs/>
                <w:color w:val="000000"/>
              </w:rPr>
              <w:t>£31,310.01</w:t>
            </w:r>
          </w:p>
          <w:p w:rsidR="008754D9" w:rsidRPr="00743397" w:rsidRDefault="008754D9" w:rsidP="00C728FB">
            <w:pPr>
              <w:tabs>
                <w:tab w:val="left" w:pos="6096"/>
              </w:tabs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8754D9" w:rsidRPr="00743397" w:rsidRDefault="008754D9" w:rsidP="00C728FB">
            <w:pPr>
              <w:rPr>
                <w:bCs/>
                <w:color w:val="000000"/>
              </w:rPr>
            </w:pPr>
            <w:r w:rsidRPr="00743397">
              <w:rPr>
                <w:bCs/>
                <w:color w:val="000000"/>
              </w:rPr>
              <w:t>£376.90</w:t>
            </w:r>
          </w:p>
          <w:p w:rsidR="008754D9" w:rsidRPr="00743397" w:rsidRDefault="008754D9" w:rsidP="00C728FB">
            <w:pPr>
              <w:tabs>
                <w:tab w:val="left" w:pos="6096"/>
              </w:tabs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8754D9" w:rsidRPr="00743397" w:rsidRDefault="008754D9" w:rsidP="00C728FB">
            <w:pPr>
              <w:rPr>
                <w:bCs/>
                <w:color w:val="000000"/>
              </w:rPr>
            </w:pPr>
            <w:r w:rsidRPr="00743397">
              <w:rPr>
                <w:bCs/>
                <w:color w:val="000000"/>
              </w:rPr>
              <w:t>£259.96</w:t>
            </w:r>
          </w:p>
          <w:p w:rsidR="008754D9" w:rsidRPr="00743397" w:rsidRDefault="008754D9" w:rsidP="00C728FB">
            <w:pPr>
              <w:tabs>
                <w:tab w:val="left" w:pos="6096"/>
              </w:tabs>
              <w:rPr>
                <w:rFonts w:eastAsia="Times New Roman"/>
              </w:rPr>
            </w:pPr>
          </w:p>
        </w:tc>
      </w:tr>
    </w:tbl>
    <w:p w:rsidR="00D53E93" w:rsidRDefault="00D53E93" w:rsidP="00D53E93">
      <w:pPr>
        <w:sectPr w:rsidR="00D53E93" w:rsidSect="008754D9">
          <w:pgSz w:w="16838" w:h="11906" w:orient="landscape"/>
          <w:pgMar w:top="1134" w:right="1134" w:bottom="1134" w:left="1134" w:header="283" w:footer="284" w:gutter="0"/>
          <w:cols w:space="708"/>
          <w:docGrid w:linePitch="360"/>
        </w:sectPr>
      </w:pPr>
    </w:p>
    <w:p w:rsidR="007F490F" w:rsidRDefault="007F490F" w:rsidP="00D54499">
      <w:pPr>
        <w:tabs>
          <w:tab w:val="left" w:pos="1128"/>
        </w:tabs>
      </w:pPr>
      <w:bookmarkStart w:id="0" w:name="_GoBack"/>
      <w:bookmarkEnd w:id="0"/>
    </w:p>
    <w:sectPr w:rsidR="007F490F" w:rsidSect="008754D9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4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4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4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4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4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4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D28EF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012EE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3397"/>
    <w:rsid w:val="00750D83"/>
    <w:rsid w:val="00793DD5"/>
    <w:rsid w:val="007D55F6"/>
    <w:rsid w:val="007F490F"/>
    <w:rsid w:val="0086779C"/>
    <w:rsid w:val="00874BFD"/>
    <w:rsid w:val="008754D9"/>
    <w:rsid w:val="008964EF"/>
    <w:rsid w:val="009631A4"/>
    <w:rsid w:val="00977296"/>
    <w:rsid w:val="00A25E93"/>
    <w:rsid w:val="00A320FF"/>
    <w:rsid w:val="00A70AC0"/>
    <w:rsid w:val="00AC443C"/>
    <w:rsid w:val="00B11A55"/>
    <w:rsid w:val="00B14962"/>
    <w:rsid w:val="00B17211"/>
    <w:rsid w:val="00B461B2"/>
    <w:rsid w:val="00B71B3C"/>
    <w:rsid w:val="00B97B62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521A9"/>
    <w:rsid w:val="00D53E93"/>
    <w:rsid w:val="00D54499"/>
    <w:rsid w:val="00E55D79"/>
    <w:rsid w:val="00EF4761"/>
    <w:rsid w:val="00F725F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402</Words>
  <Characters>2295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2023-01-19T09:10:00Z</dcterms:created>
  <dcterms:modified xsi:type="dcterms:W3CDTF">2023-06-30T08:09:00Z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